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17"/>
          <w:szCs w:val="17"/>
          <w:rtl w:val="0"/>
        </w:rPr>
        <w:t xml:space="preserve"> During the rebels’ map scene, leadership is framed through bloodline and land entitlement, seen through Hotspur’s desire to divert the river</w:t>
      </w:r>
      <w:r w:rsidDel="00000000" w:rsidR="00000000" w:rsidRPr="00000000">
        <w:rPr>
          <w:b w:val="1"/>
          <w:sz w:val="17"/>
          <w:szCs w:val="17"/>
          <w:rtl w:val="0"/>
        </w:rPr>
        <w:t xml:space="preserve">, “And here the smug and silver Trent shall run / In a new channel</w:t>
      </w:r>
      <w:r w:rsidDel="00000000" w:rsidR="00000000" w:rsidRPr="00000000">
        <w:rPr>
          <w:sz w:val="17"/>
          <w:szCs w:val="17"/>
          <w:rtl w:val="0"/>
        </w:rPr>
        <w:t xml:space="preserve">”, His personification of the river as “smug” reflects a hubristic challenge to divine order, suggesting his rule would be politically unstable. Hotspur’s refusal to entertain Glendower’s mystical claims exposes his foolish honesty, which Shakespeare critiques by contrasting it with the pragmatic cunning of more successful leaders, implying that political efficacy requires a Machiavellian edge.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