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27CA" w14:textId="15F7DB99" w:rsidR="00712E75" w:rsidRDefault="00A772AE" w:rsidP="00894D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nanoparticle generator has been written to provide the functionality of generating nanoparticle(s) from the provided bulk configuration in RMCProfile format.</w:t>
      </w:r>
      <w:r w:rsidR="00894D2C">
        <w:rPr>
          <w:rFonts w:ascii="Century Gothic" w:hAnsi="Century Gothic"/>
        </w:rPr>
        <w:t xml:space="preserve"> </w:t>
      </w:r>
      <w:r w:rsidR="00F91E7E">
        <w:rPr>
          <w:rFonts w:ascii="Century Gothic" w:hAnsi="Century Gothic"/>
        </w:rPr>
        <w:t xml:space="preserve">This tool could be used to generate single spherical </w:t>
      </w:r>
      <w:r w:rsidR="005161A3">
        <w:rPr>
          <w:rFonts w:ascii="Century Gothic" w:hAnsi="Century Gothic"/>
        </w:rPr>
        <w:t xml:space="preserve">particle or single particle with facets assuming cubic symmetry or </w:t>
      </w:r>
      <w:r w:rsidR="0012271A">
        <w:rPr>
          <w:rFonts w:ascii="Century Gothic" w:hAnsi="Century Gothic"/>
        </w:rPr>
        <w:t>no symmetry.</w:t>
      </w:r>
      <w:r w:rsidR="00A22F68">
        <w:rPr>
          <w:rFonts w:ascii="Century Gothic" w:hAnsi="Century Gothic"/>
        </w:rPr>
        <w:t xml:space="preserve"> Also, it </w:t>
      </w:r>
      <w:r w:rsidR="004E62D3">
        <w:rPr>
          <w:rFonts w:ascii="Century Gothic" w:hAnsi="Century Gothic"/>
        </w:rPr>
        <w:t>can generate multiple particles in a box</w:t>
      </w:r>
      <w:r w:rsidR="007D5971">
        <w:rPr>
          <w:rFonts w:ascii="Century Gothic" w:hAnsi="Century Gothic"/>
        </w:rPr>
        <w:t xml:space="preserve"> – a random walk algorithm is used in this case to </w:t>
      </w:r>
      <w:r w:rsidR="0044132F">
        <w:rPr>
          <w:rFonts w:ascii="Century Gothic" w:hAnsi="Century Gothic"/>
        </w:rPr>
        <w:t xml:space="preserve">fill </w:t>
      </w:r>
      <w:r w:rsidR="007D5971">
        <w:rPr>
          <w:rFonts w:ascii="Century Gothic" w:hAnsi="Century Gothic"/>
        </w:rPr>
        <w:t xml:space="preserve">the box with particles as </w:t>
      </w:r>
      <w:r w:rsidR="0044132F">
        <w:rPr>
          <w:rFonts w:ascii="Century Gothic" w:hAnsi="Century Gothic"/>
        </w:rPr>
        <w:t>fully packed as possible</w:t>
      </w:r>
      <w:r w:rsidR="003842DD">
        <w:rPr>
          <w:rFonts w:ascii="Century Gothic" w:hAnsi="Century Gothic"/>
        </w:rPr>
        <w:t xml:space="preserve"> </w:t>
      </w:r>
      <w:r w:rsidR="00D44FFA">
        <w:rPr>
          <w:rFonts w:ascii="Century Gothic" w:hAnsi="Century Gothic"/>
        </w:rPr>
        <w:t xml:space="preserve">(see Fig. X1) </w:t>
      </w:r>
      <w:r w:rsidR="003842DD">
        <w:rPr>
          <w:rFonts w:ascii="Century Gothic" w:hAnsi="Century Gothic"/>
        </w:rPr>
        <w:t>while the variation of particle radius and the distance between particles could be controlled via input parameters.</w:t>
      </w:r>
      <w:r w:rsidR="000D7E2C">
        <w:rPr>
          <w:rFonts w:ascii="Century Gothic" w:hAnsi="Century Gothic"/>
        </w:rPr>
        <w:t xml:space="preserve"> </w:t>
      </w:r>
      <w:r w:rsidR="005A36ED">
        <w:rPr>
          <w:rFonts w:ascii="Century Gothic" w:hAnsi="Century Gothic"/>
        </w:rPr>
        <w:t xml:space="preserve">For both generation scenarios, </w:t>
      </w:r>
      <w:r w:rsidR="00A334B1">
        <w:rPr>
          <w:rFonts w:ascii="Century Gothic" w:hAnsi="Century Gothic"/>
        </w:rPr>
        <w:t>the particle surface could be terminated to make sure a complete coordination environment for selected element.</w:t>
      </w:r>
      <w:r w:rsidR="009D0036">
        <w:rPr>
          <w:rFonts w:ascii="Century Gothic" w:hAnsi="Century Gothic"/>
        </w:rPr>
        <w:t xml:space="preserve"> This tool was written in Python and has been included in the RMCProfile package release </w:t>
      </w:r>
      <w:r w:rsidR="005C26D0">
        <w:rPr>
          <w:rFonts w:ascii="Century Gothic" w:hAnsi="Century Gothic"/>
        </w:rPr>
        <w:t>so users can get easy access to the tool via RMCProfile environment.</w:t>
      </w:r>
      <w:r w:rsidR="0012684F">
        <w:rPr>
          <w:rFonts w:ascii="Century Gothic" w:hAnsi="Century Gothic"/>
        </w:rPr>
        <w:t xml:space="preserve"> </w:t>
      </w:r>
      <w:r w:rsidR="00BE4A9B">
        <w:rPr>
          <w:rFonts w:ascii="Century Gothic" w:hAnsi="Century Gothic"/>
        </w:rPr>
        <w:t>Detailed instructions and documentation could be found in Ref. [1]</w:t>
      </w:r>
      <w:r w:rsidR="00562303">
        <w:rPr>
          <w:rFonts w:ascii="Century Gothic" w:hAnsi="Century Gothic"/>
        </w:rPr>
        <w:t>.</w:t>
      </w:r>
    </w:p>
    <w:p w14:paraId="464EB5EE" w14:textId="686D9DA7" w:rsidR="000625C6" w:rsidRDefault="00712E75" w:rsidP="00CB6C06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18C3BE4" wp14:editId="44464006">
            <wp:extent cx="3187186" cy="31046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57" cy="314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7E0D" w14:textId="6B7A9DEB" w:rsidR="009A1574" w:rsidRDefault="000625C6" w:rsidP="00894D2C">
      <w:pPr>
        <w:jc w:val="both"/>
        <w:rPr>
          <w:rFonts w:ascii="Century Gothic" w:hAnsi="Century Gothic"/>
        </w:rPr>
      </w:pPr>
      <w:r w:rsidRPr="00D65B6B">
        <w:rPr>
          <w:rFonts w:ascii="Century Gothic" w:hAnsi="Century Gothic"/>
          <w:b/>
          <w:bCs/>
        </w:rPr>
        <w:t>Figure. X1.</w:t>
      </w:r>
      <w:r>
        <w:rPr>
          <w:rFonts w:ascii="Century Gothic" w:hAnsi="Century Gothic"/>
        </w:rPr>
        <w:t xml:space="preserve"> Illustration for the multi</w:t>
      </w:r>
      <w:r w:rsidR="001C14B4">
        <w:rPr>
          <w:rFonts w:ascii="Century Gothic" w:hAnsi="Century Gothic"/>
        </w:rPr>
        <w:t>s</w:t>
      </w:r>
      <w:r w:rsidR="001B3618">
        <w:rPr>
          <w:rFonts w:ascii="Century Gothic" w:hAnsi="Century Gothic"/>
        </w:rPr>
        <w:t>-</w:t>
      </w:r>
      <w:r>
        <w:rPr>
          <w:rFonts w:ascii="Century Gothic" w:hAnsi="Century Gothic"/>
        </w:rPr>
        <w:t>particle generation in a box</w:t>
      </w:r>
      <w:r w:rsidR="00F13C6F">
        <w:rPr>
          <w:rFonts w:ascii="Century Gothic" w:hAnsi="Century Gothic"/>
        </w:rPr>
        <w:t xml:space="preserve">, in a </w:t>
      </w:r>
      <w:r w:rsidR="00A86455">
        <w:rPr>
          <w:rFonts w:ascii="Century Gothic" w:hAnsi="Century Gothic"/>
        </w:rPr>
        <w:t>fully packed</w:t>
      </w:r>
      <w:r w:rsidR="00F13C6F">
        <w:rPr>
          <w:rFonts w:ascii="Century Gothic" w:hAnsi="Century Gothic"/>
        </w:rPr>
        <w:t xml:space="preserve"> manner.</w:t>
      </w:r>
    </w:p>
    <w:p w14:paraId="2ED4269A" w14:textId="1DD890BD" w:rsidR="00A86455" w:rsidRDefault="0076699A" w:rsidP="00894D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For </w:t>
      </w:r>
      <w:r w:rsidR="008D1452">
        <w:rPr>
          <w:rFonts w:ascii="Century Gothic" w:hAnsi="Century Gothic"/>
        </w:rPr>
        <w:t xml:space="preserve">total scattering measurement on </w:t>
      </w:r>
      <w:r>
        <w:rPr>
          <w:rFonts w:ascii="Century Gothic" w:hAnsi="Century Gothic"/>
        </w:rPr>
        <w:t>time-of-flight (TOF) instruments, u</w:t>
      </w:r>
      <w:r w:rsidR="00D725AA">
        <w:rPr>
          <w:rFonts w:ascii="Century Gothic" w:hAnsi="Century Gothic"/>
        </w:rPr>
        <w:t xml:space="preserve">sually </w:t>
      </w:r>
      <w:r w:rsidR="00BA482F">
        <w:rPr>
          <w:rFonts w:ascii="Century Gothic" w:hAnsi="Century Gothic"/>
        </w:rPr>
        <w:t xml:space="preserve">a standard calibrant </w:t>
      </w:r>
      <w:r w:rsidR="00496B19">
        <w:rPr>
          <w:rFonts w:ascii="Century Gothic" w:hAnsi="Century Gothic"/>
        </w:rPr>
        <w:t xml:space="preserve">(e.g., diamond) </w:t>
      </w:r>
      <w:r w:rsidR="00BA482F">
        <w:rPr>
          <w:rFonts w:ascii="Century Gothic" w:hAnsi="Century Gothic"/>
        </w:rPr>
        <w:t xml:space="preserve">would be measured under the same condition as the measurement for </w:t>
      </w:r>
      <w:r w:rsidR="00B4669D">
        <w:rPr>
          <w:rFonts w:ascii="Century Gothic" w:hAnsi="Century Gothic"/>
        </w:rPr>
        <w:t>user sample</w:t>
      </w:r>
      <w:r w:rsidR="00143C6A">
        <w:rPr>
          <w:rFonts w:ascii="Century Gothic" w:hAnsi="Century Gothic"/>
        </w:rPr>
        <w:t>s</w:t>
      </w:r>
      <w:r w:rsidR="009752FC">
        <w:rPr>
          <w:rFonts w:ascii="Century Gothic" w:hAnsi="Century Gothic"/>
        </w:rPr>
        <w:t xml:space="preserve">. Given the known </w:t>
      </w:r>
      <m:oMath>
        <m:r>
          <w:rPr>
            <w:rFonts w:ascii="Cambria Math" w:hAnsi="Cambria Math"/>
          </w:rPr>
          <m:t>d</m:t>
        </m:r>
      </m:oMath>
      <w:r w:rsidR="00BA72DF">
        <w:rPr>
          <w:rFonts w:ascii="Century Gothic" w:hAnsi="Century Gothic"/>
        </w:rPr>
        <w:t>-spacing of the standard sample in use,</w:t>
      </w:r>
      <w:r w:rsidR="00D76626">
        <w:rPr>
          <w:rFonts w:ascii="Century Gothic" w:hAnsi="Century Gothic"/>
        </w:rPr>
        <w:t xml:space="preserve"> the TOF-</w:t>
      </w:r>
      <m:oMath>
        <m:r>
          <w:rPr>
            <w:rFonts w:ascii="Cambria Math" w:hAnsi="Cambria Math"/>
          </w:rPr>
          <m:t>d</m:t>
        </m:r>
      </m:oMath>
      <w:r w:rsidR="00D76626">
        <w:rPr>
          <w:rFonts w:ascii="Century Gothic" w:hAnsi="Century Gothic"/>
        </w:rPr>
        <w:t xml:space="preserve"> transformation could be calibrated.</w:t>
      </w:r>
      <w:r w:rsidR="00FE4A6F">
        <w:rPr>
          <w:rFonts w:ascii="Century Gothic" w:hAnsi="Century Gothic"/>
        </w:rPr>
        <w:t xml:space="preserve"> </w:t>
      </w:r>
      <w:r w:rsidR="008D61C7">
        <w:rPr>
          <w:rFonts w:ascii="Century Gothic" w:hAnsi="Century Gothic"/>
        </w:rPr>
        <w:t xml:space="preserve">Typically, a single DIFC parameter would be used for such a calibration purpose, following </w:t>
      </w:r>
      <w:r w:rsidR="002F2EB3">
        <w:rPr>
          <w:rFonts w:ascii="Century Gothic" w:hAnsi="Century Gothic"/>
        </w:rPr>
        <w:t xml:space="preserve">the relation </w:t>
      </w:r>
      <m:oMath>
        <m:r>
          <w:rPr>
            <w:rFonts w:ascii="Cambria Math" w:hAnsi="Cambria Math"/>
          </w:rPr>
          <m:t>d=TOF/DIFC</m:t>
        </m:r>
      </m:oMath>
      <w:r w:rsidR="002F2EB3">
        <w:rPr>
          <w:rFonts w:ascii="Century Gothic" w:hAnsi="Century Gothic"/>
        </w:rPr>
        <w:t>.</w:t>
      </w:r>
      <w:r w:rsidR="00803204">
        <w:rPr>
          <w:rFonts w:ascii="Century Gothic" w:hAnsi="Century Gothic"/>
        </w:rPr>
        <w:t xml:space="preserve"> </w:t>
      </w:r>
      <w:r w:rsidR="00481A81">
        <w:rPr>
          <w:rFonts w:ascii="Century Gothic" w:hAnsi="Century Gothic"/>
        </w:rPr>
        <w:t xml:space="preserve">A DIFC table </w:t>
      </w:r>
      <w:r w:rsidR="004B0A16">
        <w:rPr>
          <w:rFonts w:ascii="Century Gothic" w:hAnsi="Century Gothic"/>
        </w:rPr>
        <w:t xml:space="preserve">could then be obtained </w:t>
      </w:r>
      <w:r w:rsidR="00AE190E">
        <w:rPr>
          <w:rFonts w:ascii="Century Gothic" w:hAnsi="Century Gothic"/>
        </w:rPr>
        <w:t>for the whole instrument to include the DIFC value for each individual detector</w:t>
      </w:r>
      <w:r w:rsidR="009D3A68">
        <w:rPr>
          <w:rFonts w:ascii="Century Gothic" w:hAnsi="Century Gothic"/>
        </w:rPr>
        <w:t>, with which the diffraction pattern corresponding to each individual detector could be aligned and focused.</w:t>
      </w:r>
      <w:r w:rsidR="00D44826">
        <w:rPr>
          <w:rFonts w:ascii="Century Gothic" w:hAnsi="Century Gothic"/>
        </w:rPr>
        <w:t xml:space="preserve"> However</w:t>
      </w:r>
      <w:r w:rsidR="00A528AC">
        <w:rPr>
          <w:rFonts w:ascii="Century Gothic" w:hAnsi="Century Gothic"/>
        </w:rPr>
        <w:t>,</w:t>
      </w:r>
      <w:r w:rsidR="00D44826">
        <w:rPr>
          <w:rFonts w:ascii="Century Gothic" w:hAnsi="Century Gothic"/>
        </w:rPr>
        <w:t xml:space="preserve"> in practice, </w:t>
      </w:r>
      <w:r w:rsidR="0089182E">
        <w:rPr>
          <w:rFonts w:ascii="Century Gothic" w:hAnsi="Century Gothic"/>
        </w:rPr>
        <w:t xml:space="preserve">such a calibration procedure </w:t>
      </w:r>
      <w:r w:rsidR="00CA1437">
        <w:rPr>
          <w:rFonts w:ascii="Century Gothic" w:hAnsi="Century Gothic"/>
        </w:rPr>
        <w:t xml:space="preserve">conducted on standard sample could not account for the potential </w:t>
      </w:r>
      <w:r w:rsidR="003C3A78">
        <w:rPr>
          <w:rFonts w:ascii="Century Gothic" w:hAnsi="Century Gothic"/>
        </w:rPr>
        <w:t>difference in</w:t>
      </w:r>
      <w:r w:rsidR="009329F4">
        <w:rPr>
          <w:rFonts w:ascii="Century Gothic" w:hAnsi="Century Gothic"/>
        </w:rPr>
        <w:t xml:space="preserve"> between the</w:t>
      </w:r>
      <w:r w:rsidR="003C3A78">
        <w:rPr>
          <w:rFonts w:ascii="Century Gothic" w:hAnsi="Century Gothic"/>
        </w:rPr>
        <w:t xml:space="preserve"> </w:t>
      </w:r>
      <w:r w:rsidR="00CA1437">
        <w:rPr>
          <w:rFonts w:ascii="Century Gothic" w:hAnsi="Century Gothic"/>
        </w:rPr>
        <w:t xml:space="preserve">position </w:t>
      </w:r>
      <w:r w:rsidR="003C3A78">
        <w:rPr>
          <w:rFonts w:ascii="Century Gothic" w:hAnsi="Century Gothic"/>
        </w:rPr>
        <w:t>of standard and user samples.</w:t>
      </w:r>
      <w:r w:rsidR="00920C8F">
        <w:rPr>
          <w:rFonts w:ascii="Century Gothic" w:hAnsi="Century Gothic"/>
        </w:rPr>
        <w:t xml:space="preserve"> </w:t>
      </w:r>
      <w:r w:rsidR="00CA646F">
        <w:rPr>
          <w:rFonts w:ascii="Century Gothic" w:hAnsi="Century Gothic"/>
        </w:rPr>
        <w:t xml:space="preserve">To account for this factor, </w:t>
      </w:r>
      <w:r w:rsidR="00D03DED">
        <w:rPr>
          <w:rFonts w:ascii="Century Gothic" w:hAnsi="Century Gothic"/>
        </w:rPr>
        <w:t>additional parameters</w:t>
      </w:r>
      <w:r w:rsidR="009700F0">
        <w:rPr>
          <w:rFonts w:ascii="Century Gothic" w:hAnsi="Century Gothic"/>
        </w:rPr>
        <w:t xml:space="preserve"> would be introduced </w:t>
      </w:r>
      <w:r w:rsidR="00A66027">
        <w:rPr>
          <w:rFonts w:ascii="Century Gothic" w:hAnsi="Century Gothic"/>
        </w:rPr>
        <w:t>in conventional Bragg pattern refinement routine</w:t>
      </w:r>
      <w:r w:rsidR="000956D8">
        <w:rPr>
          <w:rFonts w:ascii="Century Gothic" w:hAnsi="Century Gothic"/>
        </w:rPr>
        <w:t xml:space="preserve">, to give a commonly used formula relating </w:t>
      </w:r>
      <w:r w:rsidR="00805227">
        <w:rPr>
          <w:rFonts w:ascii="Century Gothic" w:hAnsi="Century Gothic"/>
        </w:rPr>
        <w:t xml:space="preserve">TOF and </w:t>
      </w:r>
      <m:oMath>
        <m:r>
          <w:rPr>
            <w:rFonts w:ascii="Cambria Math" w:hAnsi="Cambria Math"/>
          </w:rPr>
          <m:t>d</m:t>
        </m:r>
      </m:oMath>
      <w:r w:rsidR="00805227">
        <w:rPr>
          <w:rFonts w:ascii="Century Gothic" w:hAnsi="Century Gothic"/>
        </w:rPr>
        <w:t>, as follows,</w:t>
      </w:r>
    </w:p>
    <w:p w14:paraId="5DE11C27" w14:textId="38DFEAB2" w:rsidR="00805227" w:rsidRPr="00A539C9" w:rsidRDefault="00805227" w:rsidP="00894D2C">
      <w:pPr>
        <w:jc w:val="both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TOF=</m:t>
          </m:r>
          <m:r>
            <w:rPr>
              <w:rFonts w:ascii="Cambria Math" w:hAnsi="Cambria Math"/>
            </w:rPr>
            <m:t>DIFA×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+DIFC×d+TZERO</m:t>
          </m:r>
          <m:r>
            <w:rPr>
              <w:rFonts w:ascii="Cambria Math" w:hAnsi="Cambria Math"/>
            </w:rPr>
            <m:t xml:space="preserve">                         (1)</m:t>
          </m:r>
        </m:oMath>
      </m:oMathPara>
    </w:p>
    <w:p w14:paraId="6240A935" w14:textId="77777777" w:rsidR="001B1139" w:rsidRDefault="001B1139" w:rsidP="00894D2C">
      <w:pPr>
        <w:jc w:val="both"/>
        <w:rPr>
          <w:rFonts w:ascii="Century Gothic" w:hAnsi="Century Gothic"/>
        </w:rPr>
      </w:pPr>
      <w:r w:rsidRPr="009930ED">
        <w:rPr>
          <w:rFonts w:ascii="Century Gothic" w:hAnsi="Century Gothic"/>
          <w:i/>
          <w:iCs/>
          <w:noProof/>
        </w:rPr>
        <w:lastRenderedPageBreak/>
        <w:drawing>
          <wp:inline distT="0" distB="0" distL="0" distR="0" wp14:anchorId="0686C307" wp14:editId="7AF49EF5">
            <wp:extent cx="5941060" cy="3721100"/>
            <wp:effectExtent l="0" t="0" r="254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C96D3" w14:textId="3DE9CF65" w:rsidR="001B1139" w:rsidRDefault="001B1139" w:rsidP="001B1139">
      <w:pPr>
        <w:jc w:val="center"/>
        <w:rPr>
          <w:rFonts w:ascii="Century Gothic" w:hAnsi="Century Gothic"/>
        </w:rPr>
      </w:pPr>
      <w:r w:rsidRPr="009930ED">
        <w:rPr>
          <w:rFonts w:ascii="Century Gothic" w:hAnsi="Century Gothic"/>
          <w:b/>
          <w:bCs/>
        </w:rPr>
        <w:t>Figure. X2.</w:t>
      </w:r>
      <w:r>
        <w:rPr>
          <w:rFonts w:ascii="Century Gothic" w:hAnsi="Century Gothic"/>
        </w:rPr>
        <w:t xml:space="preserve"> The main interface of the sofq_calib GUI.</w:t>
      </w:r>
    </w:p>
    <w:p w14:paraId="7F06A25C" w14:textId="15831EC8" w:rsidR="00A539C9" w:rsidRDefault="00047A78" w:rsidP="00894D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With this regard, </w:t>
      </w:r>
      <w:r w:rsidR="004F1C66">
        <w:rPr>
          <w:rFonts w:ascii="Century Gothic" w:hAnsi="Century Gothic"/>
        </w:rPr>
        <w:t xml:space="preserve">a GUI </w:t>
      </w:r>
      <w:r w:rsidR="00E8276C" w:rsidRPr="00AA5F29">
        <w:rPr>
          <w:rFonts w:ascii="Century Gothic" w:hAnsi="Century Gothic"/>
          <w:i/>
          <w:iCs/>
        </w:rPr>
        <w:t>sofq_calib</w:t>
      </w:r>
      <w:r w:rsidR="00E8276C">
        <w:rPr>
          <w:rFonts w:ascii="Century Gothic" w:hAnsi="Century Gothic"/>
        </w:rPr>
        <w:t xml:space="preserve"> </w:t>
      </w:r>
      <w:r w:rsidR="002F6273">
        <w:rPr>
          <w:rFonts w:ascii="Century Gothic" w:hAnsi="Century Gothic"/>
        </w:rPr>
        <w:t xml:space="preserve">(see Fig. X2) </w:t>
      </w:r>
      <w:r w:rsidR="00E8276C">
        <w:rPr>
          <w:rFonts w:ascii="Century Gothic" w:hAnsi="Century Gothic"/>
        </w:rPr>
        <w:t xml:space="preserve">with </w:t>
      </w:r>
      <w:r w:rsidR="00AA5F29">
        <w:rPr>
          <w:rFonts w:ascii="Century Gothic" w:hAnsi="Century Gothic"/>
        </w:rPr>
        <w:t>wxPython</w:t>
      </w:r>
      <w:r w:rsidR="00E8276C">
        <w:rPr>
          <w:rFonts w:ascii="Century Gothic" w:hAnsi="Century Gothic"/>
        </w:rPr>
        <w:t xml:space="preserve"> </w:t>
      </w:r>
      <w:r w:rsidR="00AA5F29">
        <w:rPr>
          <w:rFonts w:ascii="Century Gothic" w:hAnsi="Century Gothic"/>
        </w:rPr>
        <w:t xml:space="preserve">framework </w:t>
      </w:r>
      <w:r w:rsidR="004F1C66">
        <w:rPr>
          <w:rFonts w:ascii="Century Gothic" w:hAnsi="Century Gothic"/>
        </w:rPr>
        <w:t xml:space="preserve">has been developed to further calibrate the total scattering pattern against the Bragg refinement </w:t>
      </w:r>
      <w:r w:rsidR="00981F3E">
        <w:rPr>
          <w:rFonts w:ascii="Century Gothic" w:hAnsi="Century Gothic"/>
        </w:rPr>
        <w:t>result</w:t>
      </w:r>
      <w:r w:rsidR="003F6557">
        <w:rPr>
          <w:rFonts w:ascii="Century Gothic" w:hAnsi="Century Gothic"/>
        </w:rPr>
        <w:t>.</w:t>
      </w:r>
      <w:r w:rsidR="00826CAA">
        <w:rPr>
          <w:rFonts w:ascii="Century Gothic" w:hAnsi="Century Gothic"/>
        </w:rPr>
        <w:t xml:space="preserve"> Through this further calibration step</w:t>
      </w:r>
      <w:r w:rsidR="008544E2">
        <w:rPr>
          <w:rFonts w:ascii="Century Gothic" w:hAnsi="Century Gothic"/>
        </w:rPr>
        <w:t xml:space="preserve">, </w:t>
      </w:r>
      <w:r w:rsidR="00404328">
        <w:rPr>
          <w:rFonts w:ascii="Century Gothic" w:hAnsi="Century Gothic"/>
        </w:rPr>
        <w:t xml:space="preserve">a common TOF-d transformation is shared </w:t>
      </w:r>
      <w:r w:rsidR="001870B6">
        <w:rPr>
          <w:rFonts w:ascii="Century Gothic" w:hAnsi="Century Gothic"/>
        </w:rPr>
        <w:t>between the total scattering and Bragg data.</w:t>
      </w:r>
      <w:r w:rsidR="00307A9A">
        <w:rPr>
          <w:rFonts w:ascii="Century Gothic" w:hAnsi="Century Gothic"/>
        </w:rPr>
        <w:t xml:space="preserve"> </w:t>
      </w:r>
      <w:r w:rsidR="008B2B28">
        <w:rPr>
          <w:rFonts w:ascii="Century Gothic" w:hAnsi="Century Gothic"/>
        </w:rPr>
        <w:t>The GUI was released as a conda package and could be installed conveniently via conda.</w:t>
      </w:r>
      <w:r w:rsidR="008F04B0">
        <w:rPr>
          <w:rFonts w:ascii="Century Gothic" w:hAnsi="Century Gothic"/>
        </w:rPr>
        <w:t xml:space="preserve"> Detailed instructions about the installation together with documentation of usage could be found in Ref. [2].</w:t>
      </w:r>
    </w:p>
    <w:p w14:paraId="520F6E5A" w14:textId="477F279C" w:rsidR="00923CBE" w:rsidRDefault="00923CBE" w:rsidP="001B1139">
      <w:pPr>
        <w:rPr>
          <w:rFonts w:ascii="Century Gothic" w:hAnsi="Century Gothic"/>
        </w:rPr>
      </w:pPr>
    </w:p>
    <w:p w14:paraId="073D2B47" w14:textId="386A7423" w:rsidR="00A86455" w:rsidRPr="007719C2" w:rsidRDefault="00A86455" w:rsidP="00894D2C">
      <w:pPr>
        <w:jc w:val="both"/>
        <w:rPr>
          <w:rFonts w:ascii="Century Gothic" w:hAnsi="Century Gothic"/>
          <w:b/>
          <w:bCs/>
        </w:rPr>
      </w:pPr>
      <w:r w:rsidRPr="007719C2">
        <w:rPr>
          <w:rFonts w:ascii="Century Gothic" w:hAnsi="Century Gothic"/>
          <w:b/>
          <w:bCs/>
        </w:rPr>
        <w:t>Reference</w:t>
      </w:r>
    </w:p>
    <w:p w14:paraId="0F9ABAF9" w14:textId="7CEDF8A4" w:rsidR="00A86455" w:rsidRDefault="00A86455" w:rsidP="00894D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[1] </w:t>
      </w:r>
      <w:hyperlink r:id="rId6" w:history="1">
        <w:r w:rsidR="00DD0608" w:rsidRPr="00D91266">
          <w:rPr>
            <w:rStyle w:val="Hyperlink"/>
            <w:rFonts w:ascii="Century Gothic" w:hAnsi="Century Gothic"/>
          </w:rPr>
          <w:t>https://rmc-adv-tools.readthedocs.io/en/main/rmc_tools/np_gen.html</w:t>
        </w:r>
      </w:hyperlink>
    </w:p>
    <w:p w14:paraId="2BCCF4DE" w14:textId="19A7FFE1" w:rsidR="00DD0608" w:rsidRDefault="00701AAB" w:rsidP="00894D2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[2] </w:t>
      </w:r>
      <w:hyperlink r:id="rId7" w:history="1">
        <w:r w:rsidRPr="00D91266">
          <w:rPr>
            <w:rStyle w:val="Hyperlink"/>
            <w:rFonts w:ascii="Century Gothic" w:hAnsi="Century Gothic"/>
          </w:rPr>
          <w:t>https://rmc-adv-tools.readthedocs.io/en/main/rmc_tools/sofq_calib.html</w:t>
        </w:r>
      </w:hyperlink>
    </w:p>
    <w:p w14:paraId="1F4A9D96" w14:textId="77777777" w:rsidR="00701AAB" w:rsidRPr="00D4068A" w:rsidRDefault="00701AAB" w:rsidP="00894D2C">
      <w:pPr>
        <w:jc w:val="both"/>
        <w:rPr>
          <w:rFonts w:ascii="Century Gothic" w:hAnsi="Century Gothic"/>
        </w:rPr>
      </w:pPr>
    </w:p>
    <w:sectPr w:rsidR="00701AAB" w:rsidRPr="00D4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8A"/>
    <w:rsid w:val="00047A78"/>
    <w:rsid w:val="000625C6"/>
    <w:rsid w:val="000956D8"/>
    <w:rsid w:val="000A1103"/>
    <w:rsid w:val="000D7E2C"/>
    <w:rsid w:val="0012271A"/>
    <w:rsid w:val="0012684F"/>
    <w:rsid w:val="00143C6A"/>
    <w:rsid w:val="001722A9"/>
    <w:rsid w:val="00173EE7"/>
    <w:rsid w:val="001870B6"/>
    <w:rsid w:val="001B1139"/>
    <w:rsid w:val="001B3618"/>
    <w:rsid w:val="001C14B4"/>
    <w:rsid w:val="001D6B24"/>
    <w:rsid w:val="001E2F95"/>
    <w:rsid w:val="00270061"/>
    <w:rsid w:val="002F2EB3"/>
    <w:rsid w:val="002F6273"/>
    <w:rsid w:val="00307A9A"/>
    <w:rsid w:val="003842DD"/>
    <w:rsid w:val="003B3166"/>
    <w:rsid w:val="003C3A78"/>
    <w:rsid w:val="003F6557"/>
    <w:rsid w:val="00404328"/>
    <w:rsid w:val="00414C72"/>
    <w:rsid w:val="00434313"/>
    <w:rsid w:val="0044132F"/>
    <w:rsid w:val="00450F0F"/>
    <w:rsid w:val="00481A81"/>
    <w:rsid w:val="00496B19"/>
    <w:rsid w:val="004B0A16"/>
    <w:rsid w:val="004E62D3"/>
    <w:rsid w:val="004F1C66"/>
    <w:rsid w:val="005161A3"/>
    <w:rsid w:val="00544E28"/>
    <w:rsid w:val="00562303"/>
    <w:rsid w:val="005924B9"/>
    <w:rsid w:val="005A36ED"/>
    <w:rsid w:val="005C26D0"/>
    <w:rsid w:val="00701AAB"/>
    <w:rsid w:val="00712E75"/>
    <w:rsid w:val="0076699A"/>
    <w:rsid w:val="007719C2"/>
    <w:rsid w:val="007A78E7"/>
    <w:rsid w:val="007C549C"/>
    <w:rsid w:val="007D5971"/>
    <w:rsid w:val="00803204"/>
    <w:rsid w:val="00805227"/>
    <w:rsid w:val="00826CAA"/>
    <w:rsid w:val="008544E2"/>
    <w:rsid w:val="00861332"/>
    <w:rsid w:val="0089182E"/>
    <w:rsid w:val="00894D2C"/>
    <w:rsid w:val="008B2B28"/>
    <w:rsid w:val="008C6C78"/>
    <w:rsid w:val="008D1452"/>
    <w:rsid w:val="008D2602"/>
    <w:rsid w:val="008D61C7"/>
    <w:rsid w:val="008F04B0"/>
    <w:rsid w:val="00911B44"/>
    <w:rsid w:val="00920C8F"/>
    <w:rsid w:val="00923CBE"/>
    <w:rsid w:val="009329F4"/>
    <w:rsid w:val="009700F0"/>
    <w:rsid w:val="009752FC"/>
    <w:rsid w:val="00981F3E"/>
    <w:rsid w:val="009930ED"/>
    <w:rsid w:val="009A1574"/>
    <w:rsid w:val="009D0036"/>
    <w:rsid w:val="009D3A68"/>
    <w:rsid w:val="00A22F68"/>
    <w:rsid w:val="00A334B1"/>
    <w:rsid w:val="00A45690"/>
    <w:rsid w:val="00A528AC"/>
    <w:rsid w:val="00A539C9"/>
    <w:rsid w:val="00A66027"/>
    <w:rsid w:val="00A772AE"/>
    <w:rsid w:val="00A86455"/>
    <w:rsid w:val="00AA5F29"/>
    <w:rsid w:val="00AC74AE"/>
    <w:rsid w:val="00AE190E"/>
    <w:rsid w:val="00B4669D"/>
    <w:rsid w:val="00BA482F"/>
    <w:rsid w:val="00BA72DF"/>
    <w:rsid w:val="00BE4A9B"/>
    <w:rsid w:val="00C96BF5"/>
    <w:rsid w:val="00CA1437"/>
    <w:rsid w:val="00CA646F"/>
    <w:rsid w:val="00CB6C06"/>
    <w:rsid w:val="00D03DED"/>
    <w:rsid w:val="00D4068A"/>
    <w:rsid w:val="00D44826"/>
    <w:rsid w:val="00D44FFA"/>
    <w:rsid w:val="00D65B6B"/>
    <w:rsid w:val="00D725AA"/>
    <w:rsid w:val="00D76626"/>
    <w:rsid w:val="00D83A23"/>
    <w:rsid w:val="00DD0608"/>
    <w:rsid w:val="00E4437A"/>
    <w:rsid w:val="00E8276C"/>
    <w:rsid w:val="00EC1755"/>
    <w:rsid w:val="00F13C6F"/>
    <w:rsid w:val="00F91E7E"/>
    <w:rsid w:val="00FB4240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411"/>
  <w15:chartTrackingRefBased/>
  <w15:docId w15:val="{03F1A159-8961-472D-85D5-4C53D21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60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F2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mc-adv-tools.readthedocs.io/en/main/rmc_tools/sofq_cali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mc-adv-tools.readthedocs.io/en/main/rmc_tools/np_gen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Yuanpeng Zhang</dc:creator>
  <cp:keywords/>
  <dc:description/>
  <cp:lastModifiedBy>Yuanpeng Zhang</cp:lastModifiedBy>
  <cp:revision>165</cp:revision>
  <dcterms:created xsi:type="dcterms:W3CDTF">2022-08-07T19:52:00Z</dcterms:created>
  <dcterms:modified xsi:type="dcterms:W3CDTF">2022-08-07T21:14:00Z</dcterms:modified>
</cp:coreProperties>
</file>