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Reflection Report: Sector Risk-Adjusted Return Analysis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4">
      <w:pPr>
        <w:spacing w:after="120" w:line="360" w:lineRule="auto"/>
        <w:rPr/>
      </w:pPr>
      <w:r w:rsidDel="00000000" w:rsidR="00000000" w:rsidRPr="00000000">
        <w:rPr>
          <w:rtl w:val="0"/>
        </w:rPr>
        <w:t xml:space="preserve">This project aimed to develop a data-driven analytical product to evaluate sector-level performance within the S&amp;P 500 between 2020 and 2024. The central objective was to move beyond simple return comparisons and instead assess sectors based on risk-adjusted performance, thereby providing more meaningful insights for decision-making. The project integrates financial theory with practical data analysis techniques to generate interpretable and actionable outcomes.</w:t>
      </w:r>
    </w:p>
    <w:p w:rsidR="00000000" w:rsidDel="00000000" w:rsidP="00000000" w:rsidRDefault="00000000" w:rsidRPr="00000000" w14:paraId="00000005">
      <w:pPr>
        <w:spacing w:after="120" w:lineRule="auto"/>
        <w:rPr/>
      </w:pPr>
      <w:r w:rsidDel="00000000" w:rsidR="00000000" w:rsidRPr="00000000">
        <w:rPr>
          <w:b w:val="1"/>
          <w:bCs w:val="1"/>
          <w:rtl w:val="0"/>
        </w:rPr>
        <w:t xml:space="preserve">2. Problem Definition and Rationale</w:t>
      </w:r>
      <w:r w:rsidDel="00000000" w:rsidR="00000000" w:rsidRPr="00000000">
        <w:rPr>
          <w:rtl w:val="0"/>
        </w:rPr>
      </w:r>
    </w:p>
    <w:p w:rsidR="00000000" w:rsidDel="00000000" w:rsidP="00000000" w:rsidRDefault="00000000" w:rsidRPr="00000000" w14:paraId="00000006">
      <w:pPr>
        <w:spacing w:after="120" w:line="360" w:lineRule="auto"/>
        <w:rPr/>
      </w:pPr>
      <w:r w:rsidDel="00000000" w:rsidR="00000000" w:rsidRPr="00000000">
        <w:rPr>
          <w:rtl w:val="0"/>
        </w:rPr>
        <w:t xml:space="preserve">Traditional performance comparisons often rely on absolute returns, which can be misleading due to varying levels of volatility across sectors. This project addresses this limitation by incorporating risk-adjusted metrics, such as Sharpe-like ratios and drawdown analysis, to evaluate investment quality. The dataset was synthetically constructed based on realistic sector performance patterns to ensure consistency and analytical clarity while maintaining relevance to real-world financial contexts.</w:t>
      </w:r>
    </w:p>
    <w:p w:rsidR="00000000" w:rsidDel="00000000" w:rsidP="00000000" w:rsidRDefault="00000000" w:rsidRPr="00000000" w14:paraId="00000007">
      <w:pPr>
        <w:spacing w:after="120" w:lineRule="auto"/>
        <w:rPr/>
      </w:pPr>
      <w:r w:rsidDel="00000000" w:rsidR="00000000" w:rsidRPr="00000000">
        <w:rPr>
          <w:b w:val="1"/>
          <w:bCs w:val="1"/>
          <w:rtl w:val="0"/>
        </w:rPr>
        <w:t xml:space="preserve">3. Methodology</w:t>
      </w:r>
      <w:r w:rsidDel="00000000" w:rsidR="00000000" w:rsidRPr="00000000">
        <w:rPr>
          <w:rtl w:val="0"/>
        </w:rPr>
      </w:r>
    </w:p>
    <w:p w:rsidR="00000000" w:rsidDel="00000000" w:rsidP="00000000" w:rsidRDefault="00000000" w:rsidRPr="00000000" w14:paraId="00000008">
      <w:pPr>
        <w:spacing w:after="120" w:line="360" w:lineRule="auto"/>
        <w:rPr/>
      </w:pPr>
      <w:r w:rsidDel="00000000" w:rsidR="00000000" w:rsidRPr="00000000">
        <w:rPr>
          <w:rtl w:val="0"/>
        </w:rPr>
        <w:t xml:space="preserve">The analysis was implemented in Python using a structured workflow that included data construction, preprocessing, statistical computation, and visualization. Key performance indicators such as annualized return, volatility, maximum drawdown, and composite scoring metrics were calculated. Visualizations, including heatmaps and dashboards, were used to enhance interpretability. The methodology emphasizes transparency and reproducibility, with clear documentation embedded within the notebook.</w:t>
      </w:r>
    </w:p>
    <w:p w:rsidR="00000000" w:rsidDel="00000000" w:rsidP="00000000" w:rsidRDefault="00000000" w:rsidRPr="00000000" w14:paraId="00000009">
      <w:pPr>
        <w:spacing w:after="120" w:lineRule="auto"/>
        <w:rPr/>
      </w:pPr>
      <w:r w:rsidDel="00000000" w:rsidR="00000000" w:rsidRPr="00000000">
        <w:rPr>
          <w:b w:val="1"/>
          <w:bCs w:val="1"/>
          <w:rtl w:val="0"/>
        </w:rPr>
        <w:t xml:space="preserve">4. Key Findings and Insights</w:t>
      </w:r>
      <w:r w:rsidDel="00000000" w:rsidR="00000000" w:rsidRPr="00000000">
        <w:rPr>
          <w:rtl w:val="0"/>
        </w:rPr>
      </w:r>
    </w:p>
    <w:p w:rsidR="00000000" w:rsidDel="00000000" w:rsidP="00000000" w:rsidRDefault="00000000" w:rsidRPr="00000000" w14:paraId="0000000A">
      <w:pPr>
        <w:spacing w:after="120" w:line="360" w:lineRule="auto"/>
        <w:rPr/>
      </w:pPr>
      <w:r w:rsidDel="00000000" w:rsidR="00000000" w:rsidRPr="00000000">
        <w:rPr>
          <w:rtl w:val="0"/>
        </w:rPr>
        <w:t xml:space="preserve">The analysis revealed that sectors with moderate returns but lower volatility, such as Industrials and Healthcare, performed strongly on a risk-adjusted basis. In contrast, sectors like Technology and Energy, while exhibiting high nominal returns, demonstrated greater volatility and deeper drawdowns, reducing their overall investment quality. These findings highlight the importance of incorporating risk considerations into financial analysis and challenge the assumption that higher returns necessarily imply better performance.</w:t>
      </w:r>
    </w:p>
    <w:p w:rsidR="00000000" w:rsidDel="00000000" w:rsidP="00000000" w:rsidRDefault="00000000" w:rsidRPr="00000000" w14:paraId="0000000B">
      <w:pPr>
        <w:spacing w:after="120" w:lineRule="auto"/>
        <w:rPr/>
      </w:pPr>
      <w:r w:rsidDel="00000000" w:rsidR="00000000" w:rsidRPr="00000000">
        <w:rPr>
          <w:b w:val="1"/>
          <w:bCs w:val="1"/>
          <w:rtl w:val="0"/>
        </w:rPr>
        <w:t xml:space="preserve">5. Critical Evaluation and Limitations</w:t>
      </w:r>
      <w:r w:rsidDel="00000000" w:rsidR="00000000" w:rsidRPr="00000000">
        <w:rPr>
          <w:rtl w:val="0"/>
        </w:rPr>
      </w:r>
    </w:p>
    <w:p w:rsidR="00000000" w:rsidDel="00000000" w:rsidP="00000000" w:rsidRDefault="00000000" w:rsidRPr="00000000" w14:paraId="0000000C">
      <w:pPr>
        <w:spacing w:after="120" w:line="360" w:lineRule="auto"/>
        <w:rPr/>
      </w:pPr>
      <w:r w:rsidDel="00000000" w:rsidR="00000000" w:rsidRPr="00000000">
        <w:rPr>
          <w:rtl w:val="0"/>
        </w:rPr>
        <w:t xml:space="preserve">Despite its strengths, the project has several limitations. The use of synthetic data, while beneficial for controlled analysis, may not capture all real-world complexities such as market shocks or structural breaks. Additionally, the analysis assumes static sector compositions and does not account for intra-sector variability. Future work could incorporate real-time data sources, extend the model to include predictive analytics, and refine the scoring framework using advanced machine learning techniques.</w:t>
      </w:r>
    </w:p>
    <w:p w:rsidR="00000000" w:rsidDel="00000000" w:rsidP="00000000" w:rsidRDefault="00000000" w:rsidRPr="00000000" w14:paraId="0000000D">
      <w:pPr>
        <w:spacing w:after="120" w:lineRule="auto"/>
        <w:rPr/>
      </w:pPr>
      <w:r w:rsidDel="00000000" w:rsidR="00000000" w:rsidRPr="00000000">
        <w:rPr>
          <w:b w:val="1"/>
          <w:bCs w:val="1"/>
          <w:rtl w:val="0"/>
        </w:rPr>
        <w:t xml:space="preserve">6. Reflection and Learning Outcomes</w:t>
      </w:r>
      <w:r w:rsidDel="00000000" w:rsidR="00000000" w:rsidRPr="00000000">
        <w:rPr>
          <w:rtl w:val="0"/>
        </w:rPr>
      </w:r>
    </w:p>
    <w:p w:rsidR="00000000" w:rsidDel="00000000" w:rsidP="00000000" w:rsidRDefault="00000000" w:rsidRPr="00000000" w14:paraId="0000000E">
      <w:pPr>
        <w:spacing w:after="120" w:line="360" w:lineRule="auto"/>
        <w:rPr/>
      </w:pPr>
      <w:r w:rsidDel="00000000" w:rsidR="00000000" w:rsidRPr="00000000">
        <w:rPr>
          <w:rtl w:val="0"/>
        </w:rPr>
        <w:t xml:space="preserve">This project significantly enhanced my ability to translate theoretical concepts into practical analytical workflows. I developed proficiency in data manipulation, visualization, and the communication of insights to non-technical audiences. Furthermore, I gained a deeper understanding of the importance of model assumptions and the trade-offs involved in simplifying complex systems. The experience reinforced the value of structured problem-solving and iterative improvement in data science projects.</w:t>
      </w:r>
    </w:p>
    <w:p w:rsidR="00000000" w:rsidDel="00000000" w:rsidP="00000000" w:rsidRDefault="00000000" w:rsidRPr="00000000" w14:paraId="0000000F">
      <w:pPr>
        <w:spacing w:after="120" w:lineRule="auto"/>
        <w:rPr/>
      </w:pPr>
      <w:r w:rsidDel="00000000" w:rsidR="00000000" w:rsidRPr="00000000">
        <w:rPr>
          <w:b w:val="1"/>
          <w:bCs w:val="1"/>
          <w:rtl w:val="0"/>
        </w:rPr>
        <w:t xml:space="preserve">7. Conclusion</w:t>
      </w:r>
      <w:r w:rsidDel="00000000" w:rsidR="00000000" w:rsidRPr="00000000">
        <w:rPr>
          <w:rtl w:val="0"/>
        </w:rPr>
      </w:r>
    </w:p>
    <w:p w:rsidR="00000000" w:rsidDel="00000000" w:rsidP="00000000" w:rsidRDefault="00000000" w:rsidRPr="00000000" w14:paraId="00000010">
      <w:pPr>
        <w:spacing w:after="120" w:line="360" w:lineRule="auto"/>
        <w:rPr/>
      </w:pPr>
      <w:r w:rsidDel="00000000" w:rsidR="00000000" w:rsidRPr="00000000">
        <w:rPr>
          <w:rtl w:val="0"/>
        </w:rPr>
        <w:t xml:space="preserve">In conclusion, the project successfully demonstrates the application of Python-based data analysis to a meaningful financial problem. By focusing on risk-adjusted performance, it provides a more nuanced perspective on sector evaluation. The project meets the objectives of developing a functional data product while also showcasing strong analytical and communication skills.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