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20" w:line="240" w:lineRule="auto"/>
      </w:pPr>
      <w:r>
        <w:rPr>
          <w:rFonts w:ascii="Calibri" w:hAnsi="Calibri"/>
          <w:b/>
          <w:sz w:val="30"/>
        </w:rPr>
        <w:t>The Informational Cost of Spatial Prompts in SAM: A Controlled Study on Polyp Segmentation</w:t>
      </w:r>
    </w:p>
    <w:p>
      <w:pPr>
        <w:spacing w:before="0" w:after="60" w:line="240" w:lineRule="auto"/>
      </w:pPr>
      <w:r>
        <w:rPr>
          <w:rFonts w:ascii="Calibri" w:hAnsi="Calibri"/>
          <w:b/>
          <w:sz w:val="21"/>
        </w:rPr>
        <w:t>[Author names and order pending confirmation]</w:t>
      </w:r>
    </w:p>
    <w:p>
      <w:pPr>
        <w:spacing w:before="0" w:after="120" w:line="240" w:lineRule="auto"/>
      </w:pPr>
      <w:r>
        <w:rPr>
          <w:rFonts w:ascii="Calibri" w:hAnsi="Calibri"/>
          <w:b w:val="0"/>
          <w:sz w:val="17"/>
        </w:rPr>
        <w:t>[Affiliations pending confirmation] | Corresponding author: [pending confirmation]</w:t>
      </w:r>
    </w:p>
    <w:p>
      <w:pPr>
        <w:keepNext/>
        <w:spacing w:before="100" w:after="60" w:line="240" w:lineRule="auto"/>
      </w:pPr>
      <w:r>
        <w:rPr>
          <w:rFonts w:ascii="Calibri" w:hAnsi="Calibri"/>
          <w:b/>
          <w:sz w:val="22"/>
        </w:rPr>
        <w:t>1. INTRODUCTION</w:t>
      </w:r>
    </w:p>
    <w:p>
      <w:pPr>
        <w:spacing w:before="0" w:after="80" w:line="240" w:lineRule="auto"/>
      </w:pPr>
      <w:r>
        <w:rPr>
          <w:rFonts w:ascii="Calibri" w:hAnsi="Calibri"/>
          <w:b w:val="0"/>
          <w:sz w:val="22"/>
        </w:rPr>
        <w:t>Removing spatial prompts from Segment Anything (SAM) changes both localization and target specification. For polyp segmentation, a useful diagnosis must distinguish missing mask candidates from failure to select a good candidate. Building on SAM [1], polyp evaluations [2], and automatic prompting [3, 4], we study quality lost when spatial information is removed or degraded, automatic replacements, label efficiency, external transfer, false activation, and computational cost. Human annotation time is not measured; the contribution is controlled empirical evidence rather than a new prompting architecture.</w:t>
      </w:r>
    </w:p>
    <w:p>
      <w:pPr>
        <w:keepNext/>
        <w:spacing w:before="100" w:after="60" w:line="240" w:lineRule="auto"/>
      </w:pPr>
      <w:r>
        <w:rPr>
          <w:rFonts w:ascii="Calibri" w:hAnsi="Calibri"/>
          <w:b/>
          <w:sz w:val="22"/>
        </w:rPr>
        <w:t>2. METHODOLOGY</w:t>
      </w:r>
    </w:p>
    <w:p>
      <w:pPr>
        <w:spacing w:before="0" w:after="80" w:line="240" w:lineRule="auto"/>
      </w:pPr>
      <w:r>
        <w:rPr>
          <w:rFonts w:ascii="Calibri" w:hAnsi="Calibri"/>
          <w:b w:val="0"/>
          <w:sz w:val="22"/>
        </w:rPr>
        <w:t>We use a fixed 400-image training subset and 100 development images from Kvasir-SEG [5]. SAM ViT-B is frozen and uses FP32 at longest-side input 1024. Conditions include empty spatial input, oracle GT points and boxes, prompt perturbations, output selection, static and image-conditioned tokens, a 257-parameter linear probe over frozen image features, and probe-derived box/point prompts. A fixed spatial prior uses median normalized training-mask coordinates. Oracle prompts can reveal component count and are diagnostic ceilings.</w:t>
      </w:r>
    </w:p>
    <w:p>
      <w:pPr>
        <w:spacing w:before="0" w:after="80" w:line="240" w:lineRule="auto"/>
      </w:pPr>
      <w:r>
        <w:rPr>
          <w:rFonts w:ascii="Calibri" w:hAnsi="Calibri"/>
          <w:b w:val="0"/>
          <w:sz w:val="22"/>
        </w:rPr>
        <w:t>A compact U-Net [6] is trained from scratch and continued for 15 fixed epochs at 128 or 256 pixels from identical epoch-30 weights, Adam states, and RNG states. A label-efficiency study uses nested 25/100/400-image subsets and fixed update counts (300 probe; 1,500 U-Net). Seeds 0/1/2 are used. Development intervals bootstrap images after averaging seeds; model and threshold selection uses development data.</w:t>
      </w:r>
    </w:p>
    <w:p>
      <w:pPr>
        <w:spacing w:before="0" w:after="80" w:line="240" w:lineRule="auto"/>
      </w:pPr>
      <w:r>
        <w:rPr>
          <w:rFonts w:ascii="Calibri" w:hAnsi="Calibri"/>
          <w:b w:val="0"/>
          <w:sz w:val="22"/>
        </w:rPr>
        <w:t>Frozen models are applied without adaptation to 612 CVC-ClinicDB frames from 29 sequences [7], with sequence-clustered intervals. False activation is measured on all 1,009 HyperKvasir cecum-class images [8] using predicted area and component size. Those class labels are a negative proxy, not pixel-reviewed negative masks; patient/video IDs are unavailable. CPU latency includes the full RGB-to-mask pipeline.</w:t>
      </w:r>
    </w:p>
    <w:p>
      <w:pPr>
        <w:pageBreakBefore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263640" cy="5490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_str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49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 w:val="0"/>
        <w:spacing w:before="100" w:after="60" w:line="240" w:lineRule="auto"/>
      </w:pPr>
      <w:r>
        <w:rPr>
          <w:rFonts w:ascii="Calibri" w:hAnsi="Calibri"/>
          <w:b/>
          <w:sz w:val="22"/>
        </w:rPr>
        <w:t>3. RESULTS AND DISCUSSION</w:t>
      </w:r>
    </w:p>
    <w:p>
      <w:pPr>
        <w:spacing w:before="0" w:after="80" w:line="240" w:lineRule="auto"/>
      </w:pPr>
      <w:r>
        <w:rPr>
          <w:rFonts w:ascii="Calibri" w:hAnsi="Calibri"/>
          <w:b w:val="0"/>
          <w:sz w:val="22"/>
        </w:rPr>
        <w:t>Empty input nearly collapses (Dice 0.0089), while oracle points/boxes reach 0.6831/0.9352. Static tokens recover 0.3633, conditioned tokens 0.5013, and the probe 0.7489. Probe-derived box+point prompts raise Dice to 0.8179 (+0.0690 [0.0471, 0.0919]); a fixed train prior reaches only 0.3582, identifying image-specific localization as the main source of recovery.</w:t>
      </w:r>
    </w:p>
    <w:p>
      <w:pPr>
        <w:spacing w:before="0" w:after="80" w:line="240" w:lineRule="auto"/>
      </w:pPr>
      <w:r>
        <w:rPr>
          <w:rFonts w:ascii="Calibri" w:hAnsi="Calibri"/>
          <w:b w:val="0"/>
          <w:sz w:val="22"/>
        </w:rPr>
        <w:t>Candidate availability and selection fail differently: with empty input, the best of four outputs reaches only 0.1824; with a correct point, the best of three reaches 0.8600 versus 0.5401 under predicted-IoU selection. Ranking cannot repair missing candidates, but has headroom after localization.</w:t>
      </w:r>
    </w:p>
    <w:p>
      <w:pPr>
        <w:spacing w:before="0" w:after="80" w:line="240" w:lineRule="auto"/>
      </w:pPr>
      <w:r>
        <w:rPr>
          <w:rFonts w:ascii="Calibri" w:hAnsi="Calibri"/>
          <w:b w:val="0"/>
          <w:sz w:val="22"/>
        </w:rPr>
        <w:t>U-Net 256 reaches 0.8267; SAM−U-Net is −0.0088 [−0.0472, 0.0281], resolving neither superiority nor equivalence. With fixed optimization, SAM exceeds U-Net by +0.2718, +0.1863, and +0.1226 at 25, 100, and 400 masks (all CIs exclude zero), providing a stronger low-label starting point.</w:t>
      </w:r>
    </w:p>
    <w:p>
      <w:pPr>
        <w:spacing w:before="0" w:after="80" w:line="240" w:lineRule="auto"/>
      </w:pPr>
      <w:r>
        <w:rPr>
          <w:rFonts w:ascii="Calibri" w:hAnsi="Calibri"/>
          <w:b w:val="0"/>
          <w:sz w:val="22"/>
        </w:rPr>
        <w:t>On CVC-ClinicDB, Dice falls to 0.4587 for SAM and 0.3405 for U-Net (difference +0.1182 [0.0672, 0.1684]). On HyperKvasir negatives, mean false area is 0.0521 versus 0.1733 (difference −0.1212 [−0.1267, −0.1159]), yet both produce masks in over 99.8% of images. SAM transfers better but neither supports clinical adequacy. Median CPU latency is 8.37 s versus 27.08 ms.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89320" cy="1468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experimental_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468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Calibri" w:hAnsi="Calibri"/>
          <w:b w:val="0"/>
          <w:sz w:val="17"/>
        </w:rPr>
        <w:t>Figure 1. Prompt dependence, label efficiency, frozen positive transfer, and negative false activation. Error bars show 95% bootstrap intervals; negative-panel labels give the rate with at least 1% false area.</w:t>
      </w:r>
    </w:p>
    <w:p>
      <w:pPr>
        <w:keepNext/>
        <w:spacing w:before="100" w:after="60" w:line="240" w:lineRule="auto"/>
      </w:pPr>
      <w:r>
        <w:rPr>
          <w:rFonts w:ascii="Calibri" w:hAnsi="Calibri"/>
          <w:b/>
          <w:sz w:val="22"/>
        </w:rPr>
        <w:t>4. CONCLUSIONS</w:t>
      </w:r>
    </w:p>
    <w:p>
      <w:pPr>
        <w:spacing w:before="0" w:after="80" w:line="240" w:lineRule="auto"/>
      </w:pPr>
      <w:r>
        <w:rPr>
          <w:rFonts w:ascii="Calibri" w:hAnsi="Calibri"/>
          <w:b w:val="0"/>
          <w:sz w:val="22"/>
        </w:rPr>
        <w:t>Image-specific localization recovers much of SAM's prompt gap, and its decoder improves a coarse probe. U-Net matches Kvasir development quality at far lower cost, whereas SAM is more label-efficient and transfers better externally. Both fail to reject target absence. The contribution is an integrated diagnosis of prompt dependence, candidate generation/selection, utility, and cost—not architectural novelty. Next, an abstention gate should be evaluated on grouped negative videos.</w:t>
      </w:r>
    </w:p>
    <w:p>
      <w:pPr>
        <w:keepNext/>
        <w:spacing w:before="100" w:after="60" w:line="240" w:lineRule="auto"/>
      </w:pPr>
      <w:r>
        <w:rPr>
          <w:rFonts w:ascii="Calibri" w:hAnsi="Calibri"/>
          <w:b/>
          <w:sz w:val="22"/>
        </w:rPr>
        <w:t>REFERENCES</w:t>
      </w:r>
    </w:p>
    <w:p>
      <w:pPr>
        <w:spacing w:before="0" w:after="40" w:line="240" w:lineRule="auto"/>
      </w:pPr>
      <w:r>
        <w:rPr>
          <w:rFonts w:ascii="Calibri" w:hAnsi="Calibri"/>
          <w:b w:val="0"/>
          <w:sz w:val="18"/>
        </w:rPr>
        <w:t>[1] A. Kirillov et al., “Segment Anything,” ICCV, 2023.</w:t>
      </w:r>
    </w:p>
    <w:p>
      <w:pPr>
        <w:spacing w:before="0" w:after="40" w:line="240" w:lineRule="auto"/>
      </w:pPr>
      <w:r>
        <w:rPr>
          <w:rFonts w:ascii="Calibri" w:hAnsi="Calibri"/>
          <w:b w:val="0"/>
          <w:sz w:val="18"/>
        </w:rPr>
        <w:t>[2] T. Zhou et al., “Can SAM Segment Polyps?,” arXiv:2304.07583, 2023.</w:t>
      </w:r>
    </w:p>
    <w:p>
      <w:pPr>
        <w:spacing w:before="0" w:after="40" w:line="240" w:lineRule="auto"/>
      </w:pPr>
      <w:r>
        <w:rPr>
          <w:rFonts w:ascii="Calibri" w:hAnsi="Calibri"/>
          <w:b w:val="0"/>
          <w:sz w:val="18"/>
        </w:rPr>
        <w:t>[3] Q. Wu et al., “Self-Prompting,” arXiv:2308.07624, 2023.</w:t>
      </w:r>
    </w:p>
    <w:p>
      <w:pPr>
        <w:spacing w:before="0" w:after="40" w:line="240" w:lineRule="auto"/>
      </w:pPr>
      <w:r>
        <w:rPr>
          <w:rFonts w:ascii="Calibri" w:hAnsi="Calibri"/>
          <w:b w:val="0"/>
          <w:sz w:val="18"/>
        </w:rPr>
        <w:t>[4] T. Shaharabany et al., “AutoSAM,” arXiv:2306.06370, 2023.</w:t>
      </w:r>
    </w:p>
    <w:p>
      <w:pPr>
        <w:spacing w:before="0" w:after="40" w:line="240" w:lineRule="auto"/>
      </w:pPr>
      <w:r>
        <w:rPr>
          <w:rFonts w:ascii="Calibri" w:hAnsi="Calibri"/>
          <w:b w:val="0"/>
          <w:sz w:val="18"/>
        </w:rPr>
        <w:t>[5] D. Jha et al., “Kvasir-SEG: A Segmented Polyp Dataset,” MMM, 2020.</w:t>
      </w:r>
    </w:p>
    <w:p>
      <w:pPr>
        <w:spacing w:before="0" w:after="40" w:line="240" w:lineRule="auto"/>
      </w:pPr>
      <w:r>
        <w:rPr>
          <w:rFonts w:ascii="Calibri" w:hAnsi="Calibri"/>
          <w:b w:val="0"/>
          <w:sz w:val="18"/>
        </w:rPr>
        <w:t>[6] O. Ronneberger et al., “U-Net,” MICCAI, 2015.</w:t>
      </w:r>
    </w:p>
    <w:p>
      <w:pPr>
        <w:spacing w:before="0" w:after="40" w:line="240" w:lineRule="auto"/>
      </w:pPr>
      <w:r>
        <w:rPr>
          <w:rFonts w:ascii="Calibri" w:hAnsi="Calibri"/>
          <w:b w:val="0"/>
          <w:sz w:val="18"/>
        </w:rPr>
        <w:t>[7] J. Bernal et al., “WM-DOVA Maps for Accurate Polyp Highlighting,” CMIG, 2015.</w:t>
      </w:r>
    </w:p>
    <w:p>
      <w:pPr>
        <w:spacing w:before="0" w:after="40" w:line="240" w:lineRule="auto"/>
      </w:pPr>
      <w:r>
        <w:rPr>
          <w:rFonts w:ascii="Calibri" w:hAnsi="Calibri"/>
          <w:b w:val="0"/>
          <w:sz w:val="18"/>
        </w:rPr>
        <w:t>[8] H. Borgli et al., “HyperKvasir,” Scientific Data, 2020.</w:t>
      </w:r>
    </w:p>
    <w:p>
      <w:pPr>
        <w:spacing w:before="1100" w:after="0"/>
        <w:jc w:val="center"/>
      </w:pPr>
      <w:r>
        <w:rPr>
          <w:rFonts w:ascii="Calibri" w:hAnsi="Calibri"/>
          <w:sz w:val="16"/>
        </w:rPr>
        <w:t>WAIMLAp 2026  |  November 18–20, 2026  |  Lima, Peru  |  waimlap.org</w:t>
      </w:r>
    </w:p>
    <w:sectPr w:rsidR="00465282" w:rsidRPr="009C10AA" w:rsidSect="00A32712">
      <w:headerReference w:type="default" r:id="rId8"/>
      <w:footerReference w:type="default" r:id="rId9"/>
      <w:pgSz w:w="11906" w:h="16838" w:code="9"/>
      <w:pgMar w:top="1134" w:right="1418" w:bottom="1134" w:left="1418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B2641" w14:textId="77777777" w:rsidR="001B2E6D" w:rsidRDefault="001B2E6D">
      <w:pPr>
        <w:spacing w:after="0"/>
      </w:pPr>
      <w:r>
        <w:separator/>
      </w:r>
    </w:p>
  </w:endnote>
  <w:endnote w:type="continuationSeparator" w:id="0">
    <w:p w14:paraId="2CDCB210" w14:textId="77777777" w:rsidR="001B2E6D" w:rsidRDefault="001B2E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A38C5" w14:textId="77777777" w:rsidR="00465282" w:rsidRDefault="00000000">
    <w:pPr>
      <w:pStyle w:val="Piedepgina"/>
      <w:jc w:val="center"/>
    </w:pPr>
    <w:proofErr w:type="spellStart"/>
    <w:r>
      <w:rPr>
        <w:color w:val="6E6E6E"/>
        <w:sz w:val="15"/>
      </w:rPr>
      <w:t>WAIMLAp</w:t>
    </w:r>
    <w:proofErr w:type="spellEnd"/>
    <w:r>
      <w:rPr>
        <w:color w:val="6E6E6E"/>
        <w:sz w:val="15"/>
      </w:rPr>
      <w:t xml:space="preserve"> </w:t>
    </w:r>
    <w:proofErr w:type="gramStart"/>
    <w:r>
      <w:rPr>
        <w:color w:val="6E6E6E"/>
        <w:sz w:val="15"/>
      </w:rPr>
      <w:t>2026  |</w:t>
    </w:r>
    <w:proofErr w:type="gramEnd"/>
    <w:r>
      <w:rPr>
        <w:color w:val="6E6E6E"/>
        <w:sz w:val="15"/>
      </w:rPr>
      <w:t xml:space="preserve">  November 18–20, </w:t>
    </w:r>
    <w:proofErr w:type="gramStart"/>
    <w:r>
      <w:rPr>
        <w:color w:val="6E6E6E"/>
        <w:sz w:val="15"/>
      </w:rPr>
      <w:t>2026  |</w:t>
    </w:r>
    <w:proofErr w:type="gramEnd"/>
    <w:r>
      <w:rPr>
        <w:color w:val="6E6E6E"/>
        <w:sz w:val="15"/>
      </w:rPr>
      <w:t xml:space="preserve">  Lima, </w:t>
    </w:r>
    <w:proofErr w:type="gramStart"/>
    <w:r>
      <w:rPr>
        <w:color w:val="6E6E6E"/>
        <w:sz w:val="15"/>
      </w:rPr>
      <w:t>Peru  |</w:t>
    </w:r>
    <w:proofErr w:type="gramEnd"/>
    <w:r>
      <w:rPr>
        <w:color w:val="6E6E6E"/>
        <w:sz w:val="15"/>
      </w:rPr>
      <w:t xml:space="preserve">  waimlap.org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45383" w14:textId="77777777" w:rsidR="001B2E6D" w:rsidRDefault="001B2E6D">
      <w:pPr>
        <w:spacing w:after="0"/>
      </w:pPr>
      <w:r>
        <w:separator/>
      </w:r>
    </w:p>
  </w:footnote>
  <w:footnote w:type="continuationSeparator" w:id="0">
    <w:p w14:paraId="6A67B167" w14:textId="77777777" w:rsidR="001B2E6D" w:rsidRDefault="001B2E6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263640" cy="54900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strip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6263640" cy="54900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8827041">
    <w:abstractNumId w:val="8"/>
  </w:num>
  <w:num w:numId="2" w16cid:durableId="1899170088">
    <w:abstractNumId w:val="6"/>
  </w:num>
  <w:num w:numId="3" w16cid:durableId="1270309378">
    <w:abstractNumId w:val="5"/>
  </w:num>
  <w:num w:numId="4" w16cid:durableId="1639147181">
    <w:abstractNumId w:val="4"/>
  </w:num>
  <w:num w:numId="5" w16cid:durableId="1569733001">
    <w:abstractNumId w:val="7"/>
  </w:num>
  <w:num w:numId="6" w16cid:durableId="1434085613">
    <w:abstractNumId w:val="3"/>
  </w:num>
  <w:num w:numId="7" w16cid:durableId="418450632">
    <w:abstractNumId w:val="2"/>
  </w:num>
  <w:num w:numId="8" w16cid:durableId="217860902">
    <w:abstractNumId w:val="1"/>
  </w:num>
  <w:num w:numId="9" w16cid:durableId="1006903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E6D"/>
    <w:rsid w:val="0029639D"/>
    <w:rsid w:val="00326F90"/>
    <w:rsid w:val="00465282"/>
    <w:rsid w:val="009C10AA"/>
    <w:rsid w:val="00A32712"/>
    <w:rsid w:val="00AA148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4949236C"/>
  <w14:defaultImageDpi w14:val="300"/>
  <w15:docId w15:val="{1796AA12-5C5F-4596-A302-646CD49E6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320</Words>
  <Characters>1761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Andres Ayma Quirita</cp:lastModifiedBy>
  <cp:revision>2</cp:revision>
  <dcterms:created xsi:type="dcterms:W3CDTF">2013-12-23T23:15:00Z</dcterms:created>
  <dcterms:modified xsi:type="dcterms:W3CDTF">2026-09-24T03:58:00Z</dcterms:modified>
  <cp:category/>
</cp:coreProperties>
</file>