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240" w:lineRule="auto"/>
      </w:pPr>
      <w:r>
        <w:rPr>
          <w:rFonts w:ascii="Calibri" w:hAnsi="Calibri"/>
          <w:b/>
          <w:sz w:val="30"/>
        </w:rPr>
        <w:t>The Informational Cost of Spatial Prompts in SAM: A Controlled Study on Polyp Segmentation</w:t>
      </w:r>
    </w:p>
    <w:p>
      <w:pPr>
        <w:spacing w:before="0" w:after="60" w:line="240" w:lineRule="auto"/>
      </w:pPr>
      <w:r>
        <w:rPr>
          <w:rFonts w:ascii="Calibri" w:hAnsi="Calibri"/>
          <w:b/>
          <w:sz w:val="21"/>
        </w:rPr>
        <w:t>[Author names and order pending confirmation]</w:t>
      </w:r>
    </w:p>
    <w:p>
      <w:pPr>
        <w:spacing w:before="0" w:after="120" w:line="240" w:lineRule="auto"/>
      </w:pPr>
      <w:r>
        <w:rPr>
          <w:rFonts w:ascii="Calibri" w:hAnsi="Calibri"/>
          <w:b w:val="0"/>
          <w:sz w:val="17"/>
        </w:rPr>
        <w:t>[Affiliations pending confirmation] | Corresponding author: [pending confirmation]</w:t>
      </w:r>
    </w:p>
    <w:p>
      <w:pPr>
        <w:keepNext/>
        <w:spacing w:before="100" w:after="60" w:line="240" w:lineRule="auto"/>
      </w:pPr>
      <w:r>
        <w:rPr>
          <w:rFonts w:ascii="Calibri" w:hAnsi="Calibri"/>
          <w:b/>
          <w:sz w:val="22"/>
        </w:rPr>
        <w:t>1. INTRODUCTION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Removing spatial prompts from SAM changes available localization and target specification. For polyp segmentation, diagnosis should distinguish missing mask candidates from failures to select a useful candidate. Building on SAM [1], prior polyp evaluations [2] and automatic prompting approaches [3, 4], we study the quality lost when spatial information is removed or degraded and assess learned replacements. We investigate informational loss and computational cost; human annotation time is not measured. Our contribution is controlled empirical evidence, rather than architectural novelty.</w:t>
      </w:r>
    </w:p>
    <w:p>
      <w:pPr>
        <w:keepNext/>
        <w:spacing w:before="100" w:after="60" w:line="240" w:lineRule="auto"/>
      </w:pPr>
      <w:r>
        <w:rPr>
          <w:rFonts w:ascii="Calibri" w:hAnsi="Calibri"/>
          <w:b/>
          <w:sz w:val="22"/>
        </w:rPr>
        <w:t>2. METHODOLOGY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We use 400 fixed training and 100 development images from Kvasir-SEG [5]. SAM ViT-B is frozen, with FP32 encoding, caching and decoding at longest-side input 1024. Conditions include empty spatial input, GT-derived interior points and boxes, controlled perturbations and decoder-output selection. Eligible GT components receive separate prompts and their masks are united, so oracle prompts can disclose component count. Automatic methods use no evaluation GT: four static tokens, an image-conditioned four-token generator, a linear segmentation probe over frozen SAM features, and probe-derived box/point prompts. Token initialization uses training GT through meanpoint. A fixed-prior control uses median normalized train-mask coordinates, with one box/point query per evaluated image.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A compact U-Net [6] is trained from scratch and continued from identical epoch-30 weights, Adam and RNG states for 15 fixed epochs at 128 or 256. A label-efficiency study uses nested 25/100/400-image subsets and fixed update counts (300 probe; 1500 U-Net). Seeds 0/1/2 are used; checkpoints and thresholds are selected on development data.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Dice is measured at original resolution. Development intervals bootstrap images after averaging seeds. Frozen models are applied without adaptation to 612 CVC-ClinicDB frames from 29 sequences [7]; external intervals resample complete sequences. CPU latency includes preprocessing, the full model and restoration.</w:t>
      </w:r>
    </w:p>
    <w:p>
      <w:pPr>
        <w:pageBreakBefore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263640" cy="549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s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9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before="100" w:after="60" w:line="240" w:lineRule="auto"/>
      </w:pPr>
      <w:r>
        <w:rPr>
          <w:rFonts w:ascii="Calibri" w:hAnsi="Calibri"/>
          <w:b/>
          <w:sz w:val="22"/>
        </w:rPr>
        <w:t>3. RESULTS AND DISCUSSION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Table 1 reports development scores. Probe-derived box/point prompts improve over the probe by 0.0690 Dice (paired 95% CI: 0.0471–0.0919). At the fixed 45-epoch endpoint, U-Net 256 reaches 0.8267 and SAM minus U-Net is −0.0088 [−0.0472, 0.0281]. The mean difference is unresolved by this interval, which also does not establish equivalence. Different pretraining and input sizes further limit causal architectural comparisons.</w:t>
      </w:r>
    </w:p>
    <w:p>
      <w:pPr>
        <w:keepNext/>
        <w:spacing w:before="0" w:after="40" w:line="240" w:lineRule="auto"/>
      </w:pPr>
      <w:r>
        <w:rPr>
          <w:rFonts w:ascii="Calibri" w:hAnsi="Calibri"/>
          <w:b w:val="0"/>
          <w:sz w:val="18"/>
        </w:rPr>
        <w:t>Table 1. Development results; GT prompts are oracle references.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Development Dice [95% CI]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Empty spatial input, single output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0.0089 [0.0007, 0.0227]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GT point, oracle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0.6831 [0.6155, 0.7463]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GT box, oracle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0.9352 [0.9279, 0.9420]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Static tokens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0.3633 [0.2913, 0.4375]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Image-conditioned tokens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0.5013 [0.4260, 0.5762]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Linear probe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0.7489 [0.7067, 0.7879]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Probe → box+point → SAM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0.8179 [0.7707, 0.8600]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Compact U-Net, RGB 256, fixed epoch 45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0.8267 [0.7944, 0.8546]</w:t>
            </w:r>
          </w:p>
        </w:tc>
      </w:tr>
    </w:tbl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A fixed train-derived box/point prior reaches 0.3582 versus 0.8179 for image-specific localization. Without prompts, GT selection of the best of four outputs reaches only 0.1824; with GT points, best-of-three reaches 0.8600 versus 0.5401 under predicted-IoU selection. Candidate availability and selection therefore limit different regimes.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Under fixed optimization, automatic SAM versus U-Net differs by +0.2718 [0.2185, 0.3243], +0.1863 [0.1333, 0.2390], and +0.1226 [0.0757, 0.1692] at 25, 100, and 400 masks. On CVC-ClinicDB, Dice drops to 0.4587 for SAM and 0.3405 for U-Net; the clustered difference is +0.1182 [0.0672, 0.1684]. SAM transfers better relatively, while neither score supports clinical adequacy. Median latency was 8.37 s for SAM versus 27.08 ms for U-Net.</w:t>
      </w:r>
    </w:p>
    <w:p>
      <w:pPr>
        <w:keepNext/>
        <w:spacing w:before="100" w:after="60" w:line="240" w:lineRule="auto"/>
      </w:pPr>
      <w:r>
        <w:rPr>
          <w:rFonts w:ascii="Calibri" w:hAnsi="Calibri"/>
          <w:b/>
          <w:sz w:val="22"/>
        </w:rPr>
        <w:t>4. CONCLUSIONS</w:t>
      </w:r>
    </w:p>
    <w:p>
      <w:pPr>
        <w:spacing w:before="0" w:after="80" w:line="240" w:lineRule="auto"/>
      </w:pPr>
      <w:r>
        <w:rPr>
          <w:rFonts w:ascii="Calibri" w:hAnsi="Calibri"/>
          <w:b w:val="0"/>
          <w:sz w:val="22"/>
        </w:rPr>
        <w:t>Image-specific localization substantially improves frozen SAM over a fixed spatial prior. A mature U-Net matches its Kvasir development quality at far lower computational cost, whereas SAM has a clear advantage with few labels and under frozen cross-dataset transfer. Both systems degrade severely on CVC-ClinicDB. These findings characterize conditioning dependence and relative transfer robustness without isolating an intrinsic decoder defect or establishing clinical generalization. Specificity on negative examinations remains unmeasured.</w:t>
      </w:r>
    </w:p>
    <w:p>
      <w:pPr>
        <w:keepNext/>
        <w:spacing w:before="100" w:after="60" w:line="240" w:lineRule="auto"/>
      </w:pPr>
      <w:r>
        <w:rPr>
          <w:rFonts w:ascii="Calibri" w:hAnsi="Calibri"/>
          <w:b/>
          <w:sz w:val="22"/>
        </w:rPr>
        <w:t>REFERENCES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[1] A. Kirillov et al., “Segment Anything,” ICCV, 2023.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[2] T. Zhou et al., “Can SAM Segment Polyps?,” arXiv:2304.07583, 2023.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[3] Q. Wu, Y. Zhang, and M. Elbatel, “Self-Prompting Large Vision Models for Few-Shot Medical Image Segmentation,” arXiv:2308.07624, 2023.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[4] T. Shaharabany, A. Dahan, R. Giryes, and L. Wolf, “AutoSAM: Adapting SAM to Medical Images by Overloading the Prompt Encoder,” arXiv:2306.06370, 2023.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[5] D. Jha et al., “Kvasir-SEG: A Segmented Polyp Dataset,” MMM, 2020, pp. 451–462.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[6] O. Ronneberger, P. Fischer, and T. Brox, “U-Net: Convolutional Networks for Biomedical Image Segmentation,” MICCAI, 2015.</w:t>
      </w:r>
    </w:p>
    <w:p>
      <w:pPr>
        <w:spacing w:before="0" w:after="40" w:line="240" w:lineRule="auto"/>
      </w:pPr>
      <w:r>
        <w:rPr>
          <w:rFonts w:ascii="Calibri" w:hAnsi="Calibri"/>
          <w:b w:val="0"/>
          <w:sz w:val="18"/>
        </w:rPr>
        <w:t>[7] J. Bernal et al., “WM-DOVA Maps for Accurate Polyp Highlighting in Colonoscopy,” Computerized Medical Imaging and Graphics, 2015.</w:t>
      </w:r>
    </w:p>
    <w:p>
      <w:pPr>
        <w:spacing w:before="1100" w:after="0"/>
        <w:jc w:val="center"/>
      </w:pPr>
      <w:r>
        <w:rPr>
          <w:rFonts w:ascii="Calibri" w:hAnsi="Calibri"/>
          <w:sz w:val="16"/>
        </w:rPr>
        <w:t>WAIMLAp 2026  |  November 18–20, 2026  |  Lima, Peru  |  waimlap.org</w:t>
      </w:r>
    </w:p>
    <w:sectPr w:rsidR="00465282" w:rsidRPr="009C10AA" w:rsidSect="00A32712">
      <w:headerReference w:type="default" r:id="rId8"/>
      <w:footerReference w:type="default" r:id="rId9"/>
      <w:pgSz w:w="11906" w:h="16838" w:code="9"/>
      <w:pgMar w:top="1134" w:right="1418" w:bottom="1134" w:left="1418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2641" w14:textId="77777777" w:rsidR="001B2E6D" w:rsidRDefault="001B2E6D">
      <w:pPr>
        <w:spacing w:after="0"/>
      </w:pPr>
      <w:r>
        <w:separator/>
      </w:r>
    </w:p>
  </w:endnote>
  <w:endnote w:type="continuationSeparator" w:id="0">
    <w:p w14:paraId="2CDCB210" w14:textId="77777777" w:rsidR="001B2E6D" w:rsidRDefault="001B2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38C5" w14:textId="77777777" w:rsidR="00465282" w:rsidRDefault="00000000">
    <w:pPr>
      <w:pStyle w:val="Piedepgina"/>
      <w:jc w:val="center"/>
    </w:pPr>
    <w:proofErr w:type="spellStart"/>
    <w:r>
      <w:rPr>
        <w:color w:val="6E6E6E"/>
        <w:sz w:val="15"/>
      </w:rPr>
      <w:t>WAIMLAp</w:t>
    </w:r>
    <w:proofErr w:type="spellEnd"/>
    <w:r>
      <w:rPr>
        <w:color w:val="6E6E6E"/>
        <w:sz w:val="15"/>
      </w:rPr>
      <w:t xml:space="preserve">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November 18–20,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Lima, </w:t>
    </w:r>
    <w:proofErr w:type="gramStart"/>
    <w:r>
      <w:rPr>
        <w:color w:val="6E6E6E"/>
        <w:sz w:val="15"/>
      </w:rPr>
      <w:t>Peru  |</w:t>
    </w:r>
    <w:proofErr w:type="gramEnd"/>
    <w:r>
      <w:rPr>
        <w:color w:val="6E6E6E"/>
        <w:sz w:val="15"/>
      </w:rPr>
      <w:t xml:space="preserve">  waimlap.org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5383" w14:textId="77777777" w:rsidR="001B2E6D" w:rsidRDefault="001B2E6D">
      <w:pPr>
        <w:spacing w:after="0"/>
      </w:pPr>
      <w:r>
        <w:separator/>
      </w:r>
    </w:p>
  </w:footnote>
  <w:footnote w:type="continuationSeparator" w:id="0">
    <w:p w14:paraId="6A67B167" w14:textId="77777777" w:rsidR="001B2E6D" w:rsidRDefault="001B2E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263640" cy="5490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str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263640" cy="5490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7041">
    <w:abstractNumId w:val="8"/>
  </w:num>
  <w:num w:numId="2" w16cid:durableId="1899170088">
    <w:abstractNumId w:val="6"/>
  </w:num>
  <w:num w:numId="3" w16cid:durableId="1270309378">
    <w:abstractNumId w:val="5"/>
  </w:num>
  <w:num w:numId="4" w16cid:durableId="1639147181">
    <w:abstractNumId w:val="4"/>
  </w:num>
  <w:num w:numId="5" w16cid:durableId="1569733001">
    <w:abstractNumId w:val="7"/>
  </w:num>
  <w:num w:numId="6" w16cid:durableId="1434085613">
    <w:abstractNumId w:val="3"/>
  </w:num>
  <w:num w:numId="7" w16cid:durableId="418450632">
    <w:abstractNumId w:val="2"/>
  </w:num>
  <w:num w:numId="8" w16cid:durableId="217860902">
    <w:abstractNumId w:val="1"/>
  </w:num>
  <w:num w:numId="9" w16cid:durableId="100690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6D"/>
    <w:rsid w:val="0029639D"/>
    <w:rsid w:val="00326F90"/>
    <w:rsid w:val="00465282"/>
    <w:rsid w:val="009C10AA"/>
    <w:rsid w:val="00A32712"/>
    <w:rsid w:val="00AA1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49236C"/>
  <w14:defaultImageDpi w14:val="300"/>
  <w15:docId w15:val="{1796AA12-5C5F-4596-A302-646CD49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Andres Ayma Quirita</cp:lastModifiedBy>
  <cp:revision>2</cp:revision>
  <dcterms:created xsi:type="dcterms:W3CDTF">2013-12-23T23:15:00Z</dcterms:created>
  <dcterms:modified xsi:type="dcterms:W3CDTF">2026-09-24T03:58:00Z</dcterms:modified>
  <cp:category/>
</cp:coreProperties>
</file>