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Christopher Craig</w:t>
      </w:r>
    </w:p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CSD-325 - Module 4 Flowchart</w:t>
      </w:r>
    </w:p>
    <w:p>
      <w:pPr>
        <w:spacing w:after="300"/>
        <w:jc w:val="center"/>
      </w:pPr>
      <w:r>
        <w:rPr>
          <w:i/>
          <w:iCs/>
          <w:sz w:val="22"/>
          <w:szCs w:val="22"/>
        </w:rPr>
        <w:t xml:space="preserve">sitka_high_low_cjc.py</w:t>
      </w:r>
    </w:p>
    <w:p>
      <w:pPr>
        <w:jc w:val="center"/>
      </w:pPr>
      <w:r>
        <w:drawing>
          <wp:inline distT="0" distB="0" distL="0" distR="0">
            <wp:extent cx="4572000" cy="5324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77228e1a6da92c0f493d5abfbbe3fd15beac12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2026-07-05T22:50:35.726Z</dcterms:created>
  <dcterms:modified xsi:type="dcterms:W3CDTF">2026-07-05T22:50:35.726Z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