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4"/>
        <w:gridCol w:w="3996"/>
      </w:tblGrid>
      <w:tr w14:paraId="32A4D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6084" w:type="dxa"/>
            <w:shd w:val="clear" w:color="auto" w:fill="auto"/>
          </w:tcPr>
          <w:p w14:paraId="6C882538">
            <w:pPr>
              <w:snapToGrid w:val="0"/>
              <w:rPr>
                <w:sz w:val="28"/>
                <w:szCs w:val="28"/>
                <w:highlight w:val="none"/>
              </w:rPr>
            </w:pPr>
          </w:p>
        </w:tc>
        <w:tc>
          <w:tcPr>
            <w:tcW w:w="3996" w:type="dxa"/>
            <w:shd w:val="clear" w:color="auto" w:fill="auto"/>
          </w:tcPr>
          <w:p w14:paraId="7D5F0B36">
            <w:pPr>
              <w:snapToGrid w:val="0"/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>УТВЕРЖДАЮ</w:t>
            </w:r>
          </w:p>
          <w:p w14:paraId="6AC8B6AC">
            <w:pPr>
              <w:jc w:val="center"/>
              <w:rPr>
                <w:sz w:val="28"/>
                <w:szCs w:val="28"/>
                <w:highlight w:val="none"/>
                <w:vertAlign w:val="superscript"/>
              </w:rPr>
            </w:pPr>
            <w:r>
              <w:rPr>
                <w:sz w:val="28"/>
                <w:szCs w:val="28"/>
                <w:highlight w:val="none"/>
              </w:rPr>
              <w:t>___________________</w:t>
            </w:r>
          </w:p>
          <w:p w14:paraId="18BDE76F">
            <w:pPr>
              <w:jc w:val="center"/>
              <w:rPr>
                <w:sz w:val="28"/>
                <w:szCs w:val="28"/>
                <w:highlight w:val="none"/>
                <w:vertAlign w:val="superscript"/>
              </w:rPr>
            </w:pPr>
            <w:r>
              <w:rPr>
                <w:sz w:val="28"/>
                <w:szCs w:val="28"/>
                <w:highlight w:val="none"/>
                <w:vertAlign w:val="superscript"/>
              </w:rPr>
              <w:t xml:space="preserve">Управляющий ОСФР </w:t>
            </w:r>
          </w:p>
          <w:p w14:paraId="51A40C1B">
            <w:pPr>
              <w:jc w:val="center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  <w:vertAlign w:val="superscript"/>
              </w:rPr>
              <w:t>по Пермскому краю Зобина Ю.Е.</w:t>
            </w:r>
          </w:p>
          <w:p w14:paraId="07423C9D">
            <w:pPr>
              <w:pStyle w:val="16"/>
              <w:widowControl/>
              <w:autoSpaceDE/>
              <w:jc w:val="center"/>
              <w:rPr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>«____»_______202</w:t>
            </w:r>
            <w:r>
              <w:rPr>
                <w:sz w:val="28"/>
                <w:szCs w:val="28"/>
                <w:highlight w:val="none"/>
                <w:lang w:val="en-US"/>
              </w:rPr>
              <w:t>6</w:t>
            </w:r>
            <w:r>
              <w:rPr>
                <w:sz w:val="28"/>
                <w:szCs w:val="28"/>
                <w:highlight w:val="none"/>
              </w:rPr>
              <w:t xml:space="preserve"> г.</w:t>
            </w:r>
          </w:p>
        </w:tc>
      </w:tr>
    </w:tbl>
    <w:p w14:paraId="20FB11F4">
      <w:pPr>
        <w:pStyle w:val="2"/>
        <w:spacing w:before="0" w:after="0"/>
        <w:ind w:left="0" w:firstLine="0"/>
        <w:jc w:val="center"/>
        <w:rPr>
          <w:highlight w:val="none"/>
        </w:rPr>
      </w:pPr>
      <w:r>
        <w:rPr>
          <w:bCs w:val="0"/>
          <w:sz w:val="24"/>
          <w:szCs w:val="24"/>
          <w:highlight w:val="none"/>
        </w:rPr>
        <w:t>АКТ  № КР/</w:t>
      </w:r>
      <w:r>
        <w:rPr>
          <w:bCs w:val="0"/>
          <w:sz w:val="24"/>
          <w:szCs w:val="24"/>
          <w:highlight w:val="none"/>
          <w:shd w:val="clear" w:color="auto" w:fill="FFFF00"/>
        </w:rPr>
        <w:t>13</w:t>
      </w:r>
      <w:r>
        <w:rPr>
          <w:bCs w:val="0"/>
          <w:sz w:val="24"/>
          <w:szCs w:val="24"/>
          <w:highlight w:val="none"/>
          <w:shd w:val="clear" w:color="auto" w:fill="FFFF00"/>
          <w:lang w:val="en-US"/>
        </w:rPr>
        <w:t>0</w:t>
      </w:r>
      <w:r>
        <w:rPr>
          <w:bCs w:val="0"/>
          <w:sz w:val="24"/>
          <w:szCs w:val="24"/>
          <w:highlight w:val="none"/>
          <w:shd w:val="clear" w:color="auto" w:fill="FFFF00"/>
        </w:rPr>
        <w:t>32</w:t>
      </w:r>
      <w:r>
        <w:rPr>
          <w:bCs w:val="0"/>
          <w:sz w:val="24"/>
          <w:szCs w:val="24"/>
          <w:highlight w:val="none"/>
          <w:shd w:val="clear" w:color="auto" w:fill="FFFF00"/>
          <w:lang w:val="en-US"/>
        </w:rPr>
        <w:t>6</w:t>
      </w:r>
      <w:r>
        <w:rPr>
          <w:bCs w:val="0"/>
          <w:sz w:val="24"/>
          <w:szCs w:val="24"/>
          <w:highlight w:val="none"/>
        </w:rPr>
        <w:t xml:space="preserve"> – </w:t>
      </w:r>
      <w:r>
        <w:rPr>
          <w:bCs w:val="0"/>
          <w:sz w:val="24"/>
          <w:szCs w:val="24"/>
          <w:highlight w:val="none"/>
          <w:lang w:val="en-US"/>
        </w:rPr>
        <w:t>01</w:t>
      </w:r>
    </w:p>
    <w:p w14:paraId="119ACC5B">
      <w:pPr>
        <w:jc w:val="center"/>
        <w:rPr>
          <w:sz w:val="28"/>
          <w:szCs w:val="28"/>
          <w:highlight w:val="none"/>
        </w:rPr>
      </w:pPr>
      <w:r>
        <w:rPr>
          <w:highlight w:val="none"/>
        </w:rPr>
        <w:t>УСТАНОВКИ И ВВОДА В ЭКСПЛУАТАЦИЮ КРИПТОСРЕДСТВ</w:t>
      </w:r>
    </w:p>
    <w:p w14:paraId="6023EB3A">
      <w:pPr>
        <w:jc w:val="center"/>
        <w:rPr>
          <w:sz w:val="28"/>
          <w:szCs w:val="28"/>
          <w:highlight w:val="none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345"/>
      </w:tblGrid>
      <w:tr w14:paraId="3031B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shd w:val="clear" w:color="auto" w:fill="auto"/>
          </w:tcPr>
          <w:p w14:paraId="1A2728F9">
            <w:pPr>
              <w:snapToGrid w:val="0"/>
              <w:rPr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>г. Пермь</w:t>
            </w:r>
          </w:p>
        </w:tc>
        <w:tc>
          <w:tcPr>
            <w:tcW w:w="5345" w:type="dxa"/>
            <w:shd w:val="clear" w:color="auto" w:fill="auto"/>
          </w:tcPr>
          <w:p w14:paraId="0CA95CDB">
            <w:pPr>
              <w:snapToGrid w:val="0"/>
              <w:jc w:val="right"/>
              <w:rPr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>«</w:t>
            </w:r>
            <w:r>
              <w:rPr>
                <w:sz w:val="26"/>
                <w:szCs w:val="26"/>
                <w:highlight w:val="none"/>
                <w:lang w:val="en-US"/>
              </w:rPr>
              <w:t xml:space="preserve"> </w:t>
            </w:r>
            <w:r>
              <w:rPr>
                <w:sz w:val="26"/>
                <w:szCs w:val="26"/>
                <w:highlight w:val="none"/>
                <w:shd w:val="clear" w:color="auto" w:fill="FFFF00"/>
              </w:rPr>
              <w:t>13</w:t>
            </w:r>
            <w:r>
              <w:rPr>
                <w:sz w:val="26"/>
                <w:szCs w:val="26"/>
                <w:highlight w:val="none"/>
                <w:shd w:val="clear" w:color="auto" w:fill="FFFF00"/>
                <w:lang w:val="en-US"/>
              </w:rPr>
              <w:t xml:space="preserve"> </w:t>
            </w:r>
            <w:r>
              <w:rPr>
                <w:sz w:val="26"/>
                <w:szCs w:val="26"/>
                <w:highlight w:val="none"/>
                <w:shd w:val="clear" w:color="auto" w:fill="FFFF00"/>
              </w:rPr>
              <w:t>» марта</w:t>
            </w:r>
            <w:r>
              <w:rPr>
                <w:sz w:val="26"/>
                <w:szCs w:val="26"/>
                <w:highlight w:val="none"/>
              </w:rPr>
              <w:t xml:space="preserve"> 2026 г.</w:t>
            </w:r>
          </w:p>
        </w:tc>
      </w:tr>
    </w:tbl>
    <w:p w14:paraId="380C3CA4">
      <w:pPr>
        <w:pStyle w:val="6"/>
        <w:spacing w:line="276" w:lineRule="auto"/>
        <w:jc w:val="both"/>
        <w:rPr>
          <w:sz w:val="24"/>
          <w:highlight w:val="none"/>
        </w:rPr>
      </w:pPr>
    </w:p>
    <w:p w14:paraId="5F81A527">
      <w:pPr>
        <w:pStyle w:val="6"/>
        <w:spacing w:line="276" w:lineRule="auto"/>
        <w:jc w:val="both"/>
        <w:rPr>
          <w:bCs/>
          <w:sz w:val="24"/>
          <w:highlight w:val="none"/>
        </w:rPr>
      </w:pPr>
      <w:r>
        <w:rPr>
          <w:sz w:val="24"/>
          <w:highlight w:val="none"/>
        </w:rPr>
        <w:t>Мы,</w:t>
      </w:r>
      <w:r>
        <w:rPr>
          <w:rFonts w:hint="default"/>
          <w:sz w:val="24"/>
          <w:highlight w:val="none"/>
          <w:lang w:val="en-US"/>
        </w:rPr>
        <w:t xml:space="preserve"> </w:t>
      </w:r>
      <w:r>
        <w:rPr>
          <w:sz w:val="24"/>
          <w:highlight w:val="none"/>
        </w:rPr>
        <w:t xml:space="preserve">нижеподписавшиеся, </w:t>
      </w:r>
      <w:r>
        <w:rPr>
          <w:color w:val="000000"/>
          <w:sz w:val="24"/>
          <w:highlight w:val="none"/>
          <w:shd w:val="clear" w:color="auto" w:fill="FFFF00"/>
        </w:rPr>
        <w:t>Кудрявцева Ирина Геннадьевна</w:t>
      </w:r>
      <w:r>
        <w:rPr>
          <w:sz w:val="24"/>
          <w:highlight w:val="none"/>
        </w:rPr>
        <w:t xml:space="preserve">, </w:t>
      </w:r>
      <w:r>
        <w:rPr>
          <w:sz w:val="24"/>
          <w:highlight w:val="none"/>
          <w:shd w:val="clear" w:color="auto" w:fill="FFFF00"/>
        </w:rPr>
        <w:t>в</w:t>
      </w:r>
      <w:r>
        <w:rPr>
          <w:color w:val="000000"/>
          <w:sz w:val="24"/>
          <w:highlight w:val="none"/>
          <w:shd w:val="clear" w:color="auto" w:fill="FFFF00"/>
        </w:rPr>
        <w:t>едущий специалист-эксперт Отдел установления пенсии № 2</w:t>
      </w:r>
      <w:r>
        <w:rPr>
          <w:sz w:val="24"/>
          <w:highlight w:val="none"/>
        </w:rPr>
        <w:t xml:space="preserve"> и Казаков Виктор Рудольфович, консультант отдела организационно-технической и криптографической защиты информации (далее – отдел ОТиКЗИ) составили настоящий Акт о том, что </w:t>
      </w:r>
      <w:r>
        <w:rPr>
          <w:bCs/>
          <w:iCs/>
          <w:sz w:val="24"/>
          <w:highlight w:val="none"/>
        </w:rPr>
        <w:t>на основании</w:t>
      </w:r>
      <w:r>
        <w:rPr>
          <w:b/>
          <w:i/>
          <w:sz w:val="24"/>
          <w:highlight w:val="none"/>
        </w:rPr>
        <w:t xml:space="preserve"> </w:t>
      </w:r>
      <w:r>
        <w:rPr>
          <w:b/>
          <w:sz w:val="24"/>
          <w:highlight w:val="none"/>
        </w:rPr>
        <w:t>з</w:t>
      </w:r>
      <w:r>
        <w:rPr>
          <w:sz w:val="24"/>
          <w:highlight w:val="none"/>
        </w:rPr>
        <w:t xml:space="preserve">аявки от </w:t>
      </w:r>
      <w:r>
        <w:rPr>
          <w:sz w:val="24"/>
          <w:highlight w:val="none"/>
          <w:shd w:val="clear" w:color="auto" w:fill="FFFF00"/>
        </w:rPr>
        <w:t>13.03.2026</w:t>
      </w:r>
      <w:r>
        <w:rPr>
          <w:sz w:val="24"/>
          <w:highlight w:val="none"/>
        </w:rPr>
        <w:t xml:space="preserve">, в помещении  </w:t>
      </w:r>
      <w:r>
        <w:rPr>
          <w:sz w:val="24"/>
          <w:highlight w:val="none"/>
          <w:shd w:val="clear" w:color="auto" w:fill="FFFF00"/>
        </w:rPr>
        <w:t>зал № 1</w:t>
      </w:r>
      <w:r>
        <w:rPr>
          <w:sz w:val="24"/>
          <w:highlight w:val="none"/>
        </w:rPr>
        <w:t xml:space="preserve"> по адресу: </w:t>
      </w:r>
      <w:r>
        <w:rPr>
          <w:color w:val="000000"/>
          <w:sz w:val="24"/>
          <w:highlight w:val="none"/>
          <w:shd w:val="clear" w:color="auto" w:fill="FFFF00"/>
        </w:rPr>
        <w:t>г. Пермь, пр-кт Комсомольский, 71</w:t>
      </w:r>
      <w:r>
        <w:rPr>
          <w:sz w:val="24"/>
          <w:highlight w:val="none"/>
        </w:rPr>
        <w:t xml:space="preserve"> на ЭВМ </w:t>
      </w:r>
      <w:r>
        <w:rPr>
          <w:sz w:val="24"/>
          <w:highlight w:val="none"/>
          <w:lang w:val="en-US"/>
        </w:rPr>
        <w:t>S</w:t>
      </w:r>
      <w:r>
        <w:rPr>
          <w:sz w:val="24"/>
          <w:highlight w:val="none"/>
        </w:rPr>
        <w:t>/</w:t>
      </w:r>
      <w:r>
        <w:rPr>
          <w:sz w:val="24"/>
          <w:highlight w:val="none"/>
          <w:lang w:val="en-US"/>
        </w:rPr>
        <w:t>N</w:t>
      </w:r>
      <w:r>
        <w:rPr>
          <w:sz w:val="24"/>
          <w:highlight w:val="none"/>
        </w:rPr>
        <w:t xml:space="preserve">: </w:t>
      </w:r>
      <w:r>
        <w:rPr>
          <w:color w:val="000000"/>
          <w:sz w:val="24"/>
          <w:highlight w:val="none"/>
          <w:shd w:val="clear" w:color="auto" w:fill="FFFF00"/>
        </w:rPr>
        <w:t>GD20251006740</w:t>
      </w:r>
      <w:r>
        <w:rPr>
          <w:sz w:val="24"/>
          <w:highlight w:val="none"/>
        </w:rPr>
        <w:t xml:space="preserve">, </w:t>
      </w:r>
      <w:r>
        <w:rPr>
          <w:sz w:val="24"/>
          <w:highlight w:val="none"/>
          <w:lang w:val="en-US"/>
        </w:rPr>
        <w:t>S</w:t>
      </w:r>
      <w:r>
        <w:rPr>
          <w:sz w:val="24"/>
          <w:highlight w:val="none"/>
        </w:rPr>
        <w:t>/</w:t>
      </w:r>
      <w:r>
        <w:rPr>
          <w:sz w:val="24"/>
          <w:highlight w:val="none"/>
          <w:lang w:val="en-US"/>
        </w:rPr>
        <w:t>N</w:t>
      </w:r>
      <w:r>
        <w:rPr>
          <w:sz w:val="24"/>
          <w:highlight w:val="none"/>
        </w:rPr>
        <w:t xml:space="preserve"> дискового устройства </w:t>
      </w:r>
      <w:r>
        <w:rPr>
          <w:color w:val="000000"/>
          <w:sz w:val="24"/>
          <w:highlight w:val="none"/>
          <w:shd w:val="clear" w:color="auto" w:fill="FFFF00"/>
          <w:lang w:val="en-US"/>
        </w:rPr>
        <w:t>FSSD</w:t>
      </w:r>
      <w:r>
        <w:rPr>
          <w:color w:val="000000"/>
          <w:sz w:val="24"/>
          <w:highlight w:val="none"/>
          <w:shd w:val="clear" w:color="auto" w:fill="FFFF00"/>
        </w:rPr>
        <w:t>08125802</w:t>
      </w:r>
      <w:r>
        <w:rPr>
          <w:sz w:val="24"/>
          <w:highlight w:val="none"/>
        </w:rPr>
        <w:t xml:space="preserve"> находящимся в пользовании </w:t>
      </w:r>
      <w:r>
        <w:rPr>
          <w:color w:val="000000"/>
          <w:sz w:val="24"/>
          <w:highlight w:val="none"/>
          <w:shd w:val="clear" w:color="auto" w:fill="FFFF00"/>
        </w:rPr>
        <w:t>Кудрявцевой Ирины Геннадьевны</w:t>
      </w:r>
    </w:p>
    <w:p w14:paraId="3E819231">
      <w:pPr>
        <w:pStyle w:val="6"/>
        <w:spacing w:line="276" w:lineRule="auto"/>
        <w:rPr>
          <w:sz w:val="24"/>
          <w:highlight w:val="none"/>
        </w:rPr>
      </w:pPr>
      <w:r>
        <w:rPr>
          <w:bCs/>
          <w:sz w:val="24"/>
          <w:highlight w:val="none"/>
        </w:rPr>
        <w:t>1. Установлены</w:t>
      </w:r>
      <w:r>
        <w:rPr>
          <w:sz w:val="24"/>
          <w:highlight w:val="none"/>
        </w:rPr>
        <w:t xml:space="preserve">: </w:t>
      </w:r>
    </w:p>
    <w:p w14:paraId="7558C3D9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 xml:space="preserve">1.1 Средство криптографической защиты информации (далее – СКЗИ, криптосредство) </w:t>
      </w:r>
      <w:r>
        <w:rPr>
          <w:b/>
          <w:i/>
          <w:sz w:val="24"/>
          <w:highlight w:val="none"/>
          <w:lang w:val="en-US"/>
        </w:rPr>
        <w:t>VipNet</w:t>
      </w:r>
      <w:r>
        <w:rPr>
          <w:b/>
          <w:i/>
          <w:sz w:val="24"/>
          <w:highlight w:val="none"/>
        </w:rPr>
        <w:t xml:space="preserve"> </w:t>
      </w:r>
      <w:r>
        <w:rPr>
          <w:b/>
          <w:i/>
          <w:sz w:val="24"/>
          <w:highlight w:val="none"/>
          <w:lang w:val="en-US"/>
        </w:rPr>
        <w:t>CSP</w:t>
      </w:r>
      <w:r>
        <w:rPr>
          <w:b/>
          <w:i/>
          <w:sz w:val="24"/>
          <w:highlight w:val="none"/>
        </w:rPr>
        <w:t xml:space="preserve"> № 4.4.8.7899 </w:t>
      </w:r>
      <w:r>
        <w:rPr>
          <w:b/>
          <w:i/>
          <w:sz w:val="24"/>
          <w:highlight w:val="none"/>
          <w:lang w:val="en-US"/>
        </w:rPr>
        <w:t>ID</w:t>
      </w:r>
      <w:r>
        <w:rPr>
          <w:b/>
          <w:i/>
          <w:sz w:val="24"/>
          <w:highlight w:val="none"/>
        </w:rPr>
        <w:t xml:space="preserve"> – </w:t>
      </w:r>
      <w:r>
        <w:rPr>
          <w:b/>
          <w:i/>
          <w:sz w:val="24"/>
          <w:highlight w:val="none"/>
          <w:shd w:val="clear" w:color="auto" w:fill="FFFF00"/>
        </w:rPr>
        <w:t>01</w:t>
      </w:r>
      <w:r>
        <w:rPr>
          <w:b/>
          <w:i/>
          <w:sz w:val="24"/>
          <w:highlight w:val="none"/>
          <w:shd w:val="clear" w:color="auto" w:fill="FFFF00"/>
          <w:lang w:val="en-US"/>
        </w:rPr>
        <w:t>AD</w:t>
      </w:r>
      <w:r>
        <w:rPr>
          <w:b/>
          <w:i/>
          <w:sz w:val="24"/>
          <w:highlight w:val="none"/>
          <w:shd w:val="clear" w:color="auto" w:fill="FFFF00"/>
        </w:rPr>
        <w:t>1Е3А</w:t>
      </w:r>
      <w:r>
        <w:rPr>
          <w:b/>
          <w:i/>
          <w:sz w:val="24"/>
          <w:highlight w:val="none"/>
        </w:rPr>
        <w:t xml:space="preserve"> </w:t>
      </w:r>
      <w:r>
        <w:rPr>
          <w:sz w:val="24"/>
          <w:highlight w:val="none"/>
        </w:rPr>
        <w:t>для обеспечения работы со средствами электронной подписи и шифрования.</w:t>
      </w:r>
    </w:p>
    <w:p w14:paraId="1656310F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>1.2 Настройки программного обеспечения (далее – ПО)  по безопасности применения криптосредства в соответствии с правилами пользования и правами пользователя.</w:t>
      </w:r>
    </w:p>
    <w:p w14:paraId="45061142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 xml:space="preserve">1.3 Дополнительное ПО: Касперский </w:t>
      </w:r>
      <w:r>
        <w:rPr>
          <w:sz w:val="24"/>
          <w:highlight w:val="none"/>
          <w:lang w:val="en-US"/>
        </w:rPr>
        <w:t>Endpoint</w:t>
      </w:r>
      <w:r>
        <w:rPr>
          <w:sz w:val="24"/>
          <w:highlight w:val="none"/>
        </w:rPr>
        <w:t xml:space="preserve"> </w:t>
      </w:r>
      <w:r>
        <w:rPr>
          <w:sz w:val="24"/>
          <w:highlight w:val="none"/>
          <w:lang w:val="en-US"/>
        </w:rPr>
        <w:t>Security</w:t>
      </w:r>
      <w:r>
        <w:rPr>
          <w:sz w:val="24"/>
          <w:highlight w:val="none"/>
        </w:rPr>
        <w:t xml:space="preserve"> 12.3.0.493</w:t>
      </w:r>
    </w:p>
    <w:p w14:paraId="38A0CFCB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>2. Переданы: парольная информация, памятка.</w:t>
      </w:r>
    </w:p>
    <w:p w14:paraId="39178B9E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>3. Проведена проверка целостности ПО, работоспособности СКЗИ и проверка получения обновлений из УЦ ОСФР. Установленное ПО функционирует в штатном режиме.</w:t>
      </w:r>
    </w:p>
    <w:p w14:paraId="45B6A00B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 xml:space="preserve">4. Казаковым Виктором Рудольфовичем проведено обучение с допуском к самостоятельной работе с криптосредством: </w:t>
      </w:r>
      <w:r>
        <w:rPr>
          <w:color w:val="000000"/>
          <w:sz w:val="24"/>
          <w:highlight w:val="none"/>
          <w:shd w:val="clear" w:color="auto" w:fill="FFFF00"/>
        </w:rPr>
        <w:t>Кудрявцевой Ирины Геннадьевны</w:t>
      </w:r>
      <w:r>
        <w:rPr>
          <w:sz w:val="24"/>
          <w:highlight w:val="none"/>
        </w:rPr>
        <w:t xml:space="preserve"> по правилам пользования, соблюдению требований безопасности при работе со СКЗИ и выполнению правил обращения с ключевыми носителями, а также об ответственности за их нарушение. Вопросов нет.</w:t>
      </w:r>
    </w:p>
    <w:p w14:paraId="0A8E49B2">
      <w:pPr>
        <w:pStyle w:val="6"/>
        <w:spacing w:line="276" w:lineRule="auto"/>
        <w:jc w:val="both"/>
        <w:rPr>
          <w:sz w:val="24"/>
          <w:highlight w:val="none"/>
        </w:rPr>
      </w:pPr>
      <w:r>
        <w:rPr>
          <w:sz w:val="24"/>
          <w:highlight w:val="none"/>
        </w:rPr>
        <w:t xml:space="preserve">5. Помещение </w:t>
      </w:r>
      <w:r>
        <w:rPr>
          <w:sz w:val="24"/>
          <w:highlight w:val="none"/>
          <w:shd w:val="clear" w:color="auto" w:fill="FFFF00"/>
        </w:rPr>
        <w:t>зал № 1</w:t>
      </w:r>
      <w:r>
        <w:rPr>
          <w:sz w:val="24"/>
          <w:highlight w:val="none"/>
        </w:rPr>
        <w:t xml:space="preserve"> и его оборудование, размещение ЭВМ с установленным программным криптосредством, хранилища ключевых документов, охрана помещения и подготовленность пользователя к самостоятельной эксплуатации криптосредства с учетом выполненных рекомендаций и вывода, указанных в акте обследования помещения, предназначенного для размещения и установки криптосредства № 1/</w:t>
      </w:r>
      <w:r>
        <w:rPr>
          <w:sz w:val="24"/>
          <w:highlight w:val="none"/>
          <w:shd w:val="clear" w:color="auto" w:fill="FFFF00"/>
        </w:rPr>
        <w:t>050325</w:t>
      </w:r>
      <w:r>
        <w:rPr>
          <w:sz w:val="24"/>
          <w:highlight w:val="none"/>
        </w:rPr>
        <w:t xml:space="preserve"> от </w:t>
      </w:r>
      <w:r>
        <w:rPr>
          <w:sz w:val="24"/>
          <w:highlight w:val="none"/>
          <w:shd w:val="clear" w:color="auto" w:fill="FFFF00"/>
        </w:rPr>
        <w:t>05.03.2025</w:t>
      </w:r>
      <w:r>
        <w:rPr>
          <w:sz w:val="24"/>
          <w:highlight w:val="none"/>
        </w:rPr>
        <w:t xml:space="preserve"> г., соответствует требованиям Положения по организации криптографической защиты информации в ОСФР по Пермскому краю.</w:t>
      </w:r>
    </w:p>
    <w:p w14:paraId="0662170B">
      <w:pPr>
        <w:pStyle w:val="6"/>
        <w:spacing w:line="276" w:lineRule="auto"/>
        <w:rPr>
          <w:sz w:val="24"/>
          <w:highlight w:val="none"/>
        </w:rPr>
      </w:pPr>
      <w:r>
        <w:rPr>
          <w:sz w:val="24"/>
          <w:highlight w:val="none"/>
        </w:rPr>
        <w:t>6. Акт подготовлен в 1 экземпляре и хранится в отделе ОТиКЗИ.</w:t>
      </w:r>
      <w:bookmarkStart w:id="0" w:name="_GoBack"/>
      <w:bookmarkEnd w:id="0"/>
    </w:p>
    <w:p w14:paraId="0799B480">
      <w:pPr>
        <w:pStyle w:val="6"/>
        <w:spacing w:line="276" w:lineRule="auto"/>
        <w:rPr>
          <w:highlight w:val="none"/>
        </w:rPr>
      </w:pPr>
      <w:r>
        <w:rPr>
          <w:sz w:val="24"/>
          <w:highlight w:val="none"/>
        </w:rPr>
        <w:t xml:space="preserve">7. Документы и ЭВМ с  </w:t>
      </w:r>
      <w:r>
        <w:rPr>
          <w:b/>
          <w:i/>
          <w:sz w:val="24"/>
          <w:highlight w:val="none"/>
          <w:lang w:val="en-US"/>
        </w:rPr>
        <w:t>VipNet</w:t>
      </w:r>
      <w:r>
        <w:rPr>
          <w:b/>
          <w:i/>
          <w:sz w:val="24"/>
          <w:highlight w:val="none"/>
        </w:rPr>
        <w:t xml:space="preserve"> </w:t>
      </w:r>
      <w:r>
        <w:rPr>
          <w:b/>
          <w:i/>
          <w:sz w:val="24"/>
          <w:highlight w:val="none"/>
          <w:lang w:val="en-US"/>
        </w:rPr>
        <w:t>CSP</w:t>
      </w:r>
      <w:r>
        <w:rPr>
          <w:b/>
          <w:i/>
          <w:sz w:val="24"/>
          <w:highlight w:val="none"/>
        </w:rPr>
        <w:t xml:space="preserve"> </w:t>
      </w:r>
      <w:r>
        <w:rPr>
          <w:sz w:val="24"/>
          <w:highlight w:val="none"/>
        </w:rPr>
        <w:t xml:space="preserve">опечатанный  стикером № </w:t>
      </w:r>
      <w:r>
        <w:rPr>
          <w:color w:val="000000"/>
          <w:sz w:val="24"/>
          <w:highlight w:val="none"/>
          <w:shd w:val="clear" w:color="auto" w:fill="FFFF00"/>
        </w:rPr>
        <w:t>9706756</w:t>
      </w:r>
      <w:r>
        <w:rPr>
          <w:sz w:val="24"/>
          <w:highlight w:val="none"/>
        </w:rPr>
        <w:t xml:space="preserve">, приняты </w:t>
      </w:r>
      <w:r>
        <w:rPr>
          <w:color w:val="000000"/>
          <w:sz w:val="24"/>
          <w:highlight w:val="none"/>
          <w:shd w:val="clear" w:color="auto" w:fill="FFFF00"/>
        </w:rPr>
        <w:t>Кудрявцевой Ириной Геннадьевной</w:t>
      </w:r>
    </w:p>
    <w:p w14:paraId="6A964291">
      <w:pPr>
        <w:pStyle w:val="6"/>
        <w:spacing w:line="276" w:lineRule="auto"/>
        <w:rPr>
          <w:sz w:val="22"/>
          <w:szCs w:val="22"/>
          <w:highlight w:val="none"/>
        </w:rPr>
      </w:pPr>
      <w:r>
        <w:rPr>
          <w:highlight w:val="none"/>
        </w:rPr>
        <w:t>Замечаний нет.</w:t>
      </w:r>
    </w:p>
    <w:tbl>
      <w:tblPr>
        <w:tblStyle w:val="4"/>
        <w:tblW w:w="0" w:type="auto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5433"/>
      </w:tblGrid>
      <w:tr w14:paraId="64C85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915" w:type="dxa"/>
            <w:shd w:val="clear" w:color="auto" w:fill="auto"/>
          </w:tcPr>
          <w:p w14:paraId="07DF0A1F">
            <w:pPr>
              <w:snapToGrid w:val="0"/>
              <w:ind w:firstLine="360"/>
              <w:rPr>
                <w:sz w:val="22"/>
                <w:szCs w:val="22"/>
                <w:highlight w:val="none"/>
              </w:rPr>
            </w:pPr>
          </w:p>
          <w:p w14:paraId="6E506C27">
            <w:pPr>
              <w:snapToGrid w:val="0"/>
              <w:ind w:firstLine="360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От отдела ОТиКЗИ </w:t>
            </w:r>
          </w:p>
          <w:p w14:paraId="0DDA79F8">
            <w:pPr>
              <w:ind w:left="-720" w:firstLine="1080"/>
              <w:rPr>
                <w:sz w:val="22"/>
                <w:szCs w:val="22"/>
                <w:highlight w:val="none"/>
              </w:rPr>
            </w:pPr>
          </w:p>
          <w:p w14:paraId="052FEE8B">
            <w:pPr>
              <w:ind w:left="-720" w:firstLine="1080"/>
              <w:rPr>
                <w:sz w:val="22"/>
                <w:szCs w:val="22"/>
                <w:highlight w:val="none"/>
              </w:rPr>
            </w:pPr>
          </w:p>
          <w:p w14:paraId="4E4A97F9">
            <w:pPr>
              <w:ind w:left="-720" w:firstLine="1080"/>
              <w:rPr>
                <w:sz w:val="22"/>
                <w:szCs w:val="22"/>
                <w:highlight w:val="none"/>
                <w:shd w:val="clear" w:color="auto" w:fill="FFFF00"/>
              </w:rPr>
            </w:pPr>
            <w:r>
              <w:rPr>
                <w:sz w:val="22"/>
                <w:szCs w:val="22"/>
                <w:highlight w:val="none"/>
              </w:rPr>
              <w:t>Казаков В. Р.  /__________/</w:t>
            </w:r>
          </w:p>
          <w:p w14:paraId="5F816C36">
            <w:pPr>
              <w:ind w:left="-720" w:firstLine="1080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shd w:val="clear" w:color="auto" w:fill="FFFF00"/>
              </w:rPr>
              <w:t>« 13» марта 2026 г.</w:t>
            </w:r>
          </w:p>
          <w:p w14:paraId="7027F880">
            <w:pPr>
              <w:pStyle w:val="6"/>
              <w:ind w:left="-720" w:firstLine="1080"/>
              <w:rPr>
                <w:sz w:val="22"/>
                <w:szCs w:val="22"/>
                <w:highlight w:val="none"/>
              </w:rPr>
            </w:pPr>
          </w:p>
        </w:tc>
        <w:tc>
          <w:tcPr>
            <w:tcW w:w="5433" w:type="dxa"/>
            <w:shd w:val="clear" w:color="auto" w:fill="auto"/>
          </w:tcPr>
          <w:p w14:paraId="479616E7">
            <w:pPr>
              <w:ind w:left="47" w:firstLine="283"/>
              <w:rPr>
                <w:color w:val="000000"/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  <w:shd w:val="clear" w:color="auto" w:fill="FFFF00"/>
              </w:rPr>
              <w:t>От о</w:t>
            </w:r>
            <w:r>
              <w:rPr>
                <w:color w:val="000000"/>
                <w:highlight w:val="none"/>
                <w:shd w:val="clear" w:color="auto" w:fill="FFFF00"/>
              </w:rPr>
              <w:t>тдела установления пенсии № 2</w:t>
            </w:r>
          </w:p>
          <w:p w14:paraId="0D2F3626">
            <w:pPr>
              <w:ind w:left="47" w:firstLine="283"/>
              <w:rPr>
                <w:color w:val="000000"/>
                <w:sz w:val="22"/>
                <w:szCs w:val="22"/>
                <w:highlight w:val="none"/>
              </w:rPr>
            </w:pPr>
          </w:p>
          <w:p w14:paraId="5040DFAA">
            <w:pPr>
              <w:ind w:left="47" w:firstLine="283"/>
              <w:rPr>
                <w:sz w:val="22"/>
                <w:szCs w:val="22"/>
                <w:highlight w:val="none"/>
              </w:rPr>
            </w:pPr>
          </w:p>
          <w:p w14:paraId="4471438E">
            <w:pPr>
              <w:ind w:left="47" w:firstLine="283"/>
              <w:rPr>
                <w:sz w:val="22"/>
                <w:szCs w:val="22"/>
                <w:highlight w:val="none"/>
              </w:rPr>
            </w:pPr>
          </w:p>
          <w:p w14:paraId="187F01ED">
            <w:pPr>
              <w:ind w:left="47" w:firstLine="283"/>
              <w:rPr>
                <w:sz w:val="22"/>
                <w:szCs w:val="22"/>
                <w:highlight w:val="none"/>
                <w:shd w:val="clear" w:color="auto" w:fill="FFFF00"/>
              </w:rPr>
            </w:pPr>
            <w:r>
              <w:rPr>
                <w:sz w:val="22"/>
                <w:szCs w:val="22"/>
                <w:highlight w:val="none"/>
                <w:shd w:val="clear" w:color="auto" w:fill="FFFF00"/>
              </w:rPr>
              <w:t>Кудрявцева И. Г.</w:t>
            </w:r>
            <w:r>
              <w:rPr>
                <w:sz w:val="22"/>
                <w:szCs w:val="22"/>
                <w:highlight w:val="none"/>
              </w:rPr>
              <w:t xml:space="preserve"> /____________/</w:t>
            </w:r>
          </w:p>
          <w:p w14:paraId="559BEF48">
            <w:pPr>
              <w:pStyle w:val="6"/>
              <w:ind w:left="47" w:firstLine="283"/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  <w:shd w:val="clear" w:color="auto" w:fill="FFFF00"/>
              </w:rPr>
              <w:t>« 13 » марта 2026 г.</w:t>
            </w:r>
          </w:p>
        </w:tc>
      </w:tr>
    </w:tbl>
    <w:p w14:paraId="62BB6295">
      <w:pPr>
        <w:rPr>
          <w:highlight w:val="none"/>
        </w:rPr>
      </w:pPr>
      <w:r>
        <w:rPr>
          <w:highlight w:val="none"/>
        </w:rPr>
        <w:tab/>
      </w:r>
    </w:p>
    <w:sectPr>
      <w:pgSz w:w="11906" w:h="16838"/>
      <w:pgMar w:top="540" w:right="850" w:bottom="28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pStyle w:val="2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08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0974"/>
    <w:rsid w:val="000B0974"/>
    <w:rsid w:val="0A153056"/>
    <w:rsid w:val="1FAD507E"/>
    <w:rsid w:val="28CD3061"/>
    <w:rsid w:val="56E42B06"/>
    <w:rsid w:val="67E9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6">
    <w:name w:val="Body Text"/>
    <w:basedOn w:val="1"/>
    <w:uiPriority w:val="0"/>
    <w:rPr>
      <w:sz w:val="28"/>
    </w:rPr>
  </w:style>
  <w:style w:type="paragraph" w:styleId="7">
    <w:name w:val="List"/>
    <w:basedOn w:val="6"/>
    <w:uiPriority w:val="0"/>
    <w:rPr>
      <w:rFonts w:ascii="PT Astra Serif" w:hAnsi="PT Astra Serif" w:cs="FreeSans"/>
    </w:rPr>
  </w:style>
  <w:style w:type="character" w:customStyle="1" w:styleId="8">
    <w:name w:val="WW8Num2z0"/>
    <w:uiPriority w:val="0"/>
    <w:rPr>
      <w:rFonts w:ascii="Times New Roman" w:hAnsi="Times New Roman" w:cs="Times New Roman"/>
    </w:rPr>
  </w:style>
  <w:style w:type="character" w:customStyle="1" w:styleId="9">
    <w:name w:val="WW8Num3z0"/>
    <w:qFormat/>
    <w:uiPriority w:val="0"/>
    <w:rPr>
      <w:rFonts w:ascii="Times New Roman" w:hAnsi="Times New Roman" w:eastAsia="Times New Roman" w:cs="Times New Roman"/>
      <w:position w:val="0"/>
      <w:sz w:val="20"/>
      <w:vertAlign w:val="baseline"/>
    </w:rPr>
  </w:style>
  <w:style w:type="character" w:customStyle="1" w:styleId="10">
    <w:name w:val="WW8Num4z0"/>
    <w:qFormat/>
    <w:uiPriority w:val="0"/>
    <w:rPr>
      <w:rFonts w:hint="default"/>
    </w:rPr>
  </w:style>
  <w:style w:type="character" w:customStyle="1" w:styleId="11">
    <w:name w:val="WW8Num5z0"/>
    <w:qFormat/>
    <w:uiPriority w:val="0"/>
    <w:rPr>
      <w:rFonts w:hint="default"/>
    </w:rPr>
  </w:style>
  <w:style w:type="character" w:customStyle="1" w:styleId="12">
    <w:name w:val="WW8Num6z0"/>
    <w:uiPriority w:val="0"/>
    <w:rPr>
      <w:rFonts w:hint="default"/>
    </w:rPr>
  </w:style>
  <w:style w:type="character" w:customStyle="1" w:styleId="13">
    <w:name w:val="Основной шрифт абзаца1"/>
    <w:uiPriority w:val="0"/>
  </w:style>
  <w:style w:type="paragraph" w:customStyle="1" w:styleId="14">
    <w:name w:val="Заголовок"/>
    <w:basedOn w:val="1"/>
    <w:next w:val="6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5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16">
    <w:name w:val="Îáû÷íûé"/>
    <w:uiPriority w:val="0"/>
    <w:pPr>
      <w:widowControl w:val="0"/>
      <w:suppressAutoHyphens/>
      <w:autoSpaceDE w:val="0"/>
    </w:pPr>
    <w:rPr>
      <w:rFonts w:ascii="Times New Roman" w:hAnsi="Times New Roman" w:eastAsia="Arial" w:cs="Times New Roman"/>
      <w:sz w:val="24"/>
      <w:szCs w:val="24"/>
      <w:lang w:val="ru-RU" w:eastAsia="zh-CN" w:bidi="ar-SA"/>
    </w:rPr>
  </w:style>
  <w:style w:type="paragraph" w:customStyle="1" w:styleId="17">
    <w:name w:val="Текст выноски1"/>
    <w:basedOn w:val="1"/>
    <w:uiPriority w:val="0"/>
    <w:rPr>
      <w:rFonts w:ascii="Tahoma" w:hAnsi="Tahoma" w:cs="Tahoma"/>
      <w:sz w:val="16"/>
      <w:szCs w:val="16"/>
    </w:r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376</Words>
  <Characters>2146</Characters>
  <Lines>17</Lines>
  <Paragraphs>5</Paragraphs>
  <TotalTime>68</TotalTime>
  <ScaleCrop>false</ScaleCrop>
  <LinksUpToDate>false</LinksUpToDate>
  <CharactersWithSpaces>2517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2026-03-16T07:56:00Z</dcterms:created>
  <dc:creator>Пользователь</dc:creator>
  <cp:lastModifiedBy>KvoERR</cp:lastModifiedBy>
  <cp:lastPrinted>2021-10-20T08:14:00Z</cp:lastPrinted>
  <dcterms:modified xsi:type="dcterms:W3CDTF">2026-03-19T08:10:17Z</dcterms:modified>
  <dc:title>УТВЕРЖДАЮ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185DCDCD0C354D8394428108695106AF_12</vt:lpwstr>
  </property>
</Properties>
</file>