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B306" w14:textId="2611A22E" w:rsidR="00640F82" w:rsidRDefault="00FD49C4">
      <w:r>
        <w:t xml:space="preserve">Flamingosis splices together old school soul, wild funk and D.I.Y electronic with a radiant message meant for any moment. After generating 100 million streams, attracting 100k cumulatie social media followers and receiving acclaim from Pitchfork, MTV, THISSONGISSICK and may more, the New Jersey-raised and brooklyn-based artist and producer embeds an important affirmation within the framework of his next full-length album, Daymaker. </w:t>
      </w:r>
    </w:p>
    <w:p w14:paraId="1C348421" w14:textId="77777777" w:rsidR="0062393B" w:rsidRDefault="0062393B"/>
    <w:sectPr w:rsidR="00623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C4"/>
    <w:rsid w:val="0062393B"/>
    <w:rsid w:val="00640F82"/>
    <w:rsid w:val="00F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A8C6"/>
  <w15:chartTrackingRefBased/>
  <w15:docId w15:val="{349B8C18-B45C-4BBE-B48E-48473700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2</cp:revision>
  <dcterms:created xsi:type="dcterms:W3CDTF">2024-04-10T10:43:00Z</dcterms:created>
  <dcterms:modified xsi:type="dcterms:W3CDTF">2024-04-10T10:46:00Z</dcterms:modified>
</cp:coreProperties>
</file>