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FBB1" w14:textId="6EC41FA8" w:rsidR="00640F82" w:rsidRDefault="00D429C1">
      <w:r w:rsidRPr="00D429C1">
        <w:t>Moroccan influences meet melody and strong rhymes: Black Moulay goes from classic street rap to musical diversity. He does not allow himself to be pigeonholed into a fixed genre and proves time and again how multifaceted he can work.</w:t>
      </w:r>
    </w:p>
    <w:sectPr w:rsidR="0064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C1"/>
    <w:rsid w:val="00640F82"/>
    <w:rsid w:val="00D4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D36A"/>
  <w15:chartTrackingRefBased/>
  <w15:docId w15:val="{305D2D62-A17B-442B-B41F-FDD4004C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29C1"/>
    <w:pPr>
      <w:spacing w:after="0" w:line="240" w:lineRule="auto"/>
    </w:pPr>
    <w:rPr>
      <w:rFonts w:ascii="Calibri" w:hAnsi="Calibri" w:cs="Calibri"/>
      <w:kern w:val="0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202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2024-04-10T10:48:00Z</dcterms:created>
  <dcterms:modified xsi:type="dcterms:W3CDTF">2024-04-10T10:49:00Z</dcterms:modified>
</cp:coreProperties>
</file>