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95eb2cd4d2e4cdc" /><Relationship Type="http://schemas.openxmlformats.org/package/2006/relationships/metadata/core-properties" Target="/docProps/core.xml" Id="R93ba0c70d2eb4a60" /><Relationship Type="http://schemas.openxmlformats.org/officeDocument/2006/relationships/extended-properties" Target="/docProps/app.xml" Id="R3a7d96880687483f" /><Relationship Type="http://schemas.openxmlformats.org/officeDocument/2006/relationships/custom-properties" Target="/docProps/custom.xml" Id="R85076b706cc4477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2"/>
        </w:rPr>
        <w:t xml:space="preserve">Healthcare Analytics — Doctor Visit Utilisation Study</w:t>
      </w:r>
    </w:p>
    <w:p w14:paraId="00100002" w14:textId="00100003">
      <w:pPr>
        <w:pStyle w:val="Normal"/>
        <w:spacing w:after="80"/>
        <w:jc w:val="center"/>
      </w:pPr>
      <w:r>
        <w:rPr>
          <w:color w:val="57606A"/>
          <w:sz w:val="22"/>
        </w:rPr>
        <w:t xml:space="preserve">Author: KV Pavan Kumar  |  Dataset: Healthcare Analytics for Doctor Visits  |  Observations: 5,190  |  Variables: 13</w:t>
      </w:r>
    </w:p>
    <w:p w14:paraId="00100004" w14:textId="00100005">
      <w:pPr>
        <w:pStyle w:val="Normal"/>
        <w:spacing w:after="360"/>
        <w:jc w:val="center"/>
      </w:pPr>
      <w:r>
        <w:rPr>
          <w:color w:val="57606A"/>
          <w:sz w:val="22"/>
        </w:rPr>
        <w:t xml:space="preserve">Status: Complete  |  Framework: Python · Pandas · NumPy · Matplotlib · Seaborn · SciPy</w:t>
      </w:r>
    </w:p>
    <w:p w14:paraId="00100006" w14:textId="00100007">
      <w:pPr>
        <w:pStyle w:val="Heading1"/>
        <w:spacing w:before="120" w:after="120"/>
      </w:pPr>
      <w:r>
        <w:rPr>
          <w:b/>
          <w:sz w:val="32"/>
        </w:rPr>
        <w:t xml:space="preserve">Table of Contents</w:t>
      </w:r>
    </w:p>
    <w:p w14:paraId="00100008" w14:textId="00100009">
      <w:pPr>
        <w:pStyle w:val="Normal"/>
        <w:spacing w:after="80"/>
      </w:pPr>
      <w:r>
        <w:rPr>
          <w:sz w:val="22"/>
        </w:rPr>
        <w:t xml:space="preserve">1.  Executive Summary</w:t>
      </w:r>
    </w:p>
    <w:p w14:paraId="0010000A" w14:textId="0010000B">
      <w:pPr>
        <w:pStyle w:val="Normal"/>
        <w:spacing w:after="80"/>
      </w:pPr>
      <w:r>
        <w:rPr>
          <w:sz w:val="22"/>
        </w:rPr>
        <w:t xml:space="preserve">2.  Dataset Overview &amp; Data Dictionary</w:t>
      </w:r>
    </w:p>
    <w:p w14:paraId="0010000C" w14:textId="0010000D">
      <w:pPr>
        <w:pStyle w:val="Normal"/>
        <w:spacing w:after="80"/>
      </w:pPr>
      <w:r>
        <w:rPr>
          <w:sz w:val="22"/>
        </w:rPr>
        <w:t xml:space="preserve">3.  Phase 1 — Data Audit</w:t>
      </w:r>
    </w:p>
    <w:p w14:paraId="0010000E" w14:textId="0010000F">
      <w:pPr>
        <w:pStyle w:val="Normal"/>
        <w:spacing w:after="80"/>
      </w:pPr>
      <w:r>
        <w:rPr>
          <w:sz w:val="22"/>
        </w:rPr>
        <w:t xml:space="preserve">4.  Phase 2 — Data Cleaning</w:t>
      </w:r>
    </w:p>
    <w:p w14:paraId="00100010" w14:textId="00100011">
      <w:pPr>
        <w:pStyle w:val="Normal"/>
        <w:spacing w:after="80"/>
      </w:pPr>
      <w:r>
        <w:rPr>
          <w:sz w:val="22"/>
        </w:rPr>
        <w:t xml:space="preserve">5.  Phase 3 — Feature Engineering</w:t>
      </w:r>
    </w:p>
    <w:p w14:paraId="00100012" w14:textId="00100013">
      <w:pPr>
        <w:pStyle w:val="Normal"/>
        <w:spacing w:after="80"/>
      </w:pPr>
      <w:r>
        <w:rPr>
          <w:sz w:val="22"/>
        </w:rPr>
        <w:t xml:space="preserve">6.  Phase 4 — Exploratory Data Analysis (EDA)</w:t>
      </w:r>
    </w:p>
    <w:p w14:paraId="00100014" w14:textId="00100015">
      <w:pPr>
        <w:pStyle w:val="Normal"/>
        <w:spacing w:after="80"/>
      </w:pPr>
      <w:r>
        <w:rPr>
          <w:sz w:val="22"/>
        </w:rPr>
        <w:t xml:space="preserve">7.  Phase 5 — Statistical Analysis</w:t>
      </w:r>
    </w:p>
    <w:p w14:paraId="00100016" w14:textId="00100017">
      <w:pPr>
        <w:pStyle w:val="Normal"/>
        <w:spacing w:after="80"/>
      </w:pPr>
      <w:r>
        <w:rPr>
          <w:sz w:val="22"/>
        </w:rPr>
        <w:t xml:space="preserve">8.  Phase 6 — Healthcare &amp; Business Insights</w:t>
      </w:r>
    </w:p>
    <w:p w14:paraId="00100018" w14:textId="00100019">
      <w:pPr>
        <w:pStyle w:val="Normal"/>
        <w:spacing w:after="80"/>
      </w:pPr>
      <w:r>
        <w:rPr>
          <w:sz w:val="22"/>
        </w:rPr>
        <w:t xml:space="preserve">9.  Phase 7 — Actionable Recommendations</w:t>
      </w:r>
    </w:p>
    <w:p w14:paraId="0010001A" w14:textId="0010001B">
      <w:pPr>
        <w:pStyle w:val="Normal"/>
        <w:spacing w:after="360"/>
      </w:pPr>
      <w:r>
        <w:rPr>
          <w:sz w:val="22"/>
        </w:rPr>
        <w:t xml:space="preserve">10. Conclusion</w:t>
      </w:r>
    </w:p>
    <w:p w14:paraId="0010001C" w14:textId="0010001D">
      <w:pPr>
        <w:pStyle w:val="Heading1"/>
        <w:spacing w:before="240" w:after="160"/>
      </w:pPr>
      <w:r>
        <w:rPr>
          <w:b/>
          <w:sz w:val="32"/>
        </w:rPr>
        <w:t xml:space="preserve">1. Executive Summary</w:t>
      </w:r>
    </w:p>
    <w:p w14:paraId="0010001E" w14:textId="0010001F">
      <w:pPr>
        <w:pStyle w:val="Normal"/>
        <w:spacing w:after="160"/>
      </w:pPr>
      <w:r>
        <w:rPr>
          <w:sz w:val="22"/>
        </w:rPr>
        <w:t xml:space="preserve">This report presents a complete, end-to-end healthcare analytics study on a population cohort dataset recording general practitioner (GP) visit frequency over a two-week observation window. The dataset comprises 5,190 patient records with 13 variables spanning demographics, socioeconomic status, health status, insurance coverage, and chronic disease burden.</w:t>
      </w:r>
    </w:p>
    <w:p w14:paraId="00100020" w14:textId="00100021">
      <w:pPr>
        <w:pStyle w:val="Normal"/>
        <w:spacing w:after="160"/>
      </w:pPr>
      <w:r>
        <w:rPr>
          <w:sz w:val="22"/>
        </w:rPr>
        <w:t xml:space="preserve">The central analytical question is: what socioeconomic and clinical factors predict doctor visit frequency, and which patient segments are under-utilising or over-utilising primary care? The analysis proceeds through eight structured phases — data audit, cleaning, feature engineering, exploratory analysis, statistical testing, insight generation, recommendations, and reporting — using professional Python tooling and reproducible methods.</w:t>
      </w:r>
    </w:p>
    <w:p w14:paraId="00100022" w14:textId="00100023">
      <w:pPr>
        <w:pStyle w:val="Normal"/>
        <w:spacing w:after="360"/>
      </w:pPr>
      <w:r>
        <w:rPr>
          <w:sz w:val="22"/>
        </w:rPr>
        <w:t xml:space="preserve">Key findings: the dataset exhibits severe zero-inflation (79.8% of patients had zero visits), illness count is the strongest predictor of visit frequency (Spearman ρ ≈ 0.22), females utilise healthcare significantly more than males (Mann-Whitney p &lt; 0.05), limiting chronic conditions drive 2–3× higher visit rates, and insurance type is a statistically significant predictor of healthcare access (Chi-square p &lt; 0.001). Six actionable recommendations are provided to guide health policy and clinical practice.</w:t>
      </w:r>
    </w:p>
    <w:p w14:paraId="00100024" w14:textId="00100025">
      <w:pPr>
        <w:pStyle w:val="Heading1"/>
        <w:spacing w:before="240" w:after="160"/>
      </w:pPr>
      <w:r>
        <w:rPr>
          <w:b/>
          <w:sz w:val="32"/>
        </w:rPr>
        <w:t xml:space="preserve">2. Dataset Overview &amp; Data Dictionary</w:t>
      </w:r>
    </w:p>
    <w:p w14:paraId="00100026" w14:textId="00100027">
      <w:pPr>
        <w:pStyle w:val="Normal"/>
        <w:spacing w:after="160"/>
      </w:pPr>
      <w:r>
        <w:rPr>
          <w:sz w:val="22"/>
        </w:rPr>
        <w:t xml:space="preserve">The dataset originates from the Australian Health Survey (Cameron &amp; Trivedi, 1986), a widely used reference dataset in health economics and applied econometrics. It records individual-level data on GP visit behaviour, insurance type, health status, and socioeconomic characteristics.</w:t>
      </w:r>
    </w:p>
    <w:p w14:paraId="00100028" w14:textId="00100029">
      <w:pPr>
        <w:pStyle w:val="Normal"/>
        <w:spacing w:after="200"/>
      </w:pPr>
      <w:r>
        <w:rPr>
          <w:sz w:val="22"/>
        </w:rPr>
        <w:t xml:space="preserve">Dataset Dimensions: 5,190 rows × 13 columns. No missing values. No duplicate rows detected. Target variable: visits (count of GP visits in the past 2 weeks, range 0–9).</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2A" w14:textId="0010002B">
            <w:r>
              <w:t xml:space="preserve">Column</w:t>
            </w:r>
          </w:p>
        </w:tc>
        <w:tc>
          <w:p w14:paraId="0010002C" w14:textId="0010002D">
            <w:r>
              <w:t xml:space="preserve">Type</w:t>
            </w:r>
          </w:p>
        </w:tc>
        <w:tc>
          <w:p w14:paraId="0010002E" w14:textId="0010002F">
            <w:r>
              <w:t xml:space="preserve">Range</w:t>
            </w:r>
          </w:p>
        </w:tc>
        <w:tc>
          <w:p w14:paraId="00100030" w14:textId="00100031">
            <w:r>
              <w:t xml:space="preserve">Description</w:t>
            </w:r>
          </w:p>
        </w:tc>
      </w:tr>
      <w:tr>
        <w:trPr/>
        <w:tc>
          <w:p w14:paraId="00100032" w14:textId="00100033">
            <w:r>
              <w:t xml:space="preserve">visits</w:t>
            </w:r>
          </w:p>
        </w:tc>
        <w:tc>
          <w:p w14:paraId="00100034" w14:textId="00100035">
            <w:r>
              <w:t xml:space="preserve">Integer</w:t>
            </w:r>
          </w:p>
        </w:tc>
        <w:tc>
          <w:p w14:paraId="00100036" w14:textId="00100037">
            <w:r>
              <w:t xml:space="preserve">0–9</w:t>
            </w:r>
          </w:p>
        </w:tc>
        <w:tc>
          <w:p w14:paraId="00100038" w14:textId="00100039">
            <w:r>
              <w:t xml:space="preserve">GP visits in past 2 weeks (target variable)</w:t>
            </w:r>
          </w:p>
        </w:tc>
      </w:tr>
      <w:tr>
        <w:trPr/>
        <w:tc>
          <w:p w14:paraId="0010003A" w14:textId="0010003B">
            <w:r>
              <w:t xml:space="preserve">gender</w:t>
            </w:r>
          </w:p>
        </w:tc>
        <w:tc>
          <w:p w14:paraId="0010003C" w14:textId="0010003D">
            <w:r>
              <w:t xml:space="preserve">String</w:t>
            </w:r>
          </w:p>
        </w:tc>
        <w:tc>
          <w:p w14:paraId="0010003E" w14:textId="0010003F">
            <w:r>
              <w:t xml:space="preserve">male/female</w:t>
            </w:r>
          </w:p>
        </w:tc>
        <w:tc>
          <w:p w14:paraId="00100040" w14:textId="00100041">
            <w:r>
              <w:t xml:space="preserve">Patient biological sex</w:t>
            </w:r>
          </w:p>
        </w:tc>
      </w:tr>
      <w:tr>
        <w:trPr/>
        <w:tc>
          <w:p w14:paraId="00100042" w14:textId="00100043">
            <w:r>
              <w:t xml:space="preserve">age</w:t>
            </w:r>
          </w:p>
        </w:tc>
        <w:tc>
          <w:p w14:paraId="00100044" w14:textId="00100045">
            <w:r>
              <w:t xml:space="preserve">Float</w:t>
            </w:r>
          </w:p>
        </w:tc>
        <w:tc>
          <w:p w14:paraId="00100046" w14:textId="00100047">
            <w:r>
              <w:t xml:space="preserve">0.19–0.72</w:t>
            </w:r>
          </w:p>
        </w:tc>
        <w:tc>
          <w:p w14:paraId="00100048" w14:textId="00100049">
            <w:r>
              <w:t xml:space="preserve">Age divided by 100 (multiply by 100 for years: 19–72)</w:t>
            </w:r>
          </w:p>
        </w:tc>
      </w:tr>
      <w:tr>
        <w:trPr/>
        <w:tc>
          <w:p w14:paraId="0010004A" w14:textId="0010004B">
            <w:r>
              <w:t xml:space="preserve">income</w:t>
            </w:r>
          </w:p>
        </w:tc>
        <w:tc>
          <w:p w14:paraId="0010004C" w14:textId="0010004D">
            <w:r>
              <w:t xml:space="preserve">Float</w:t>
            </w:r>
          </w:p>
        </w:tc>
        <w:tc>
          <w:p w14:paraId="0010004E" w14:textId="0010004F">
            <w:r>
              <w:t xml:space="preserve">0–1.5</w:t>
            </w:r>
          </w:p>
        </w:tc>
        <w:tc>
          <w:p w14:paraId="00100050" w14:textId="00100051">
            <w:r>
              <w:t xml:space="preserve">Annual household income (normalised scale)</w:t>
            </w:r>
          </w:p>
        </w:tc>
      </w:tr>
      <w:tr>
        <w:trPr/>
        <w:tc>
          <w:p w14:paraId="00100052" w14:textId="00100053">
            <w:r>
              <w:t xml:space="preserve">illness</w:t>
            </w:r>
          </w:p>
        </w:tc>
        <w:tc>
          <w:p w14:paraId="00100054" w14:textId="00100055">
            <w:r>
              <w:t xml:space="preserve">Integer</w:t>
            </w:r>
          </w:p>
        </w:tc>
        <w:tc>
          <w:p w14:paraId="00100056" w14:textId="00100057">
            <w:r>
              <w:t xml:space="preserve">0–5</w:t>
            </w:r>
          </w:p>
        </w:tc>
        <w:tc>
          <w:p w14:paraId="00100058" w14:textId="00100059">
            <w:r>
              <w:t xml:space="preserve">Number of illnesses/conditions in past 2 weeks</w:t>
            </w:r>
          </w:p>
        </w:tc>
      </w:tr>
      <w:tr>
        <w:trPr/>
        <w:tc>
          <w:p w14:paraId="0010005A" w14:textId="0010005B">
            <w:r>
              <w:t xml:space="preserve">reduced</w:t>
            </w:r>
          </w:p>
        </w:tc>
        <w:tc>
          <w:p w14:paraId="0010005C" w14:textId="0010005D">
            <w:r>
              <w:t xml:space="preserve">Integer</w:t>
            </w:r>
          </w:p>
        </w:tc>
        <w:tc>
          <w:p w14:paraId="0010005E" w14:textId="0010005F">
            <w:r>
              <w:t xml:space="preserve">0–14</w:t>
            </w:r>
          </w:p>
        </w:tc>
        <w:tc>
          <w:p w14:paraId="00100060" w14:textId="00100061">
            <w:r>
              <w:t xml:space="preserve">Days of reduced activity due to illness</w:t>
            </w:r>
          </w:p>
        </w:tc>
      </w:tr>
      <w:tr>
        <w:trPr/>
        <w:tc>
          <w:p w14:paraId="00100062" w14:textId="00100063">
            <w:r>
              <w:t xml:space="preserve">health</w:t>
            </w:r>
          </w:p>
        </w:tc>
        <w:tc>
          <w:p w14:paraId="00100064" w14:textId="00100065">
            <w:r>
              <w:t xml:space="preserve">Integer</w:t>
            </w:r>
          </w:p>
        </w:tc>
        <w:tc>
          <w:p w14:paraId="00100066" w14:textId="00100067">
            <w:r>
              <w:t xml:space="preserve">0–12</w:t>
            </w:r>
          </w:p>
        </w:tc>
        <w:tc>
          <w:p w14:paraId="00100068" w14:textId="00100069">
            <w:r>
              <w:t xml:space="preserve">Self-reported health score (higher = worse health)</w:t>
            </w:r>
          </w:p>
        </w:tc>
      </w:tr>
      <w:tr>
        <w:trPr/>
        <w:tc>
          <w:p w14:paraId="0010006A" w14:textId="0010006B">
            <w:r>
              <w:t xml:space="preserve">private</w:t>
            </w:r>
          </w:p>
        </w:tc>
        <w:tc>
          <w:p w14:paraId="0010006C" w14:textId="0010006D">
            <w:r>
              <w:t xml:space="preserve">yes/no</w:t>
            </w:r>
          </w:p>
        </w:tc>
        <w:tc>
          <w:p w14:paraId="0010006E" w14:textId="0010006F">
            <w:r>
              <w:t xml:space="preserve">Binary</w:t>
            </w:r>
          </w:p>
        </w:tc>
        <w:tc>
          <w:p w14:paraId="00100070" w14:textId="00100071">
            <w:r>
              <w:t xml:space="preserve">Holds private health insurance</w:t>
            </w:r>
          </w:p>
        </w:tc>
      </w:tr>
      <w:tr>
        <w:trPr/>
        <w:tc>
          <w:p w14:paraId="00100072" w14:textId="00100073">
            <w:r>
              <w:t xml:space="preserve">freepoor</w:t>
            </w:r>
          </w:p>
        </w:tc>
        <w:tc>
          <w:p w14:paraId="00100074" w14:textId="00100075">
            <w:r>
              <w:t xml:space="preserve">yes/no</w:t>
            </w:r>
          </w:p>
        </w:tc>
        <w:tc>
          <w:p w14:paraId="00100076" w14:textId="00100077">
            <w:r>
              <w:t xml:space="preserve">Binary</w:t>
            </w:r>
          </w:p>
        </w:tc>
        <w:tc>
          <w:p w14:paraId="00100078" w14:textId="00100079">
            <w:r>
              <w:t xml:space="preserve">Government low-income free healthcare card</w:t>
            </w:r>
          </w:p>
        </w:tc>
      </w:tr>
      <w:tr>
        <w:trPr/>
        <w:tc>
          <w:p w14:paraId="0010007A" w14:textId="0010007B">
            <w:r>
              <w:t xml:space="preserve">freerepat</w:t>
            </w:r>
          </w:p>
        </w:tc>
        <w:tc>
          <w:p w14:paraId="0010007C" w14:textId="0010007D">
            <w:r>
              <w:t xml:space="preserve">yes/no</w:t>
            </w:r>
          </w:p>
        </w:tc>
        <w:tc>
          <w:p w14:paraId="0010007E" w14:textId="0010007F">
            <w:r>
              <w:t xml:space="preserve">Binary</w:t>
            </w:r>
          </w:p>
        </w:tc>
        <w:tc>
          <w:p w14:paraId="00100080" w14:textId="00100081">
            <w:r>
              <w:t xml:space="preserve">Repatriation/veteran government health card</w:t>
            </w:r>
          </w:p>
        </w:tc>
      </w:tr>
      <w:tr>
        <w:trPr/>
        <w:tc>
          <w:p w14:paraId="00100082" w14:textId="00100083">
            <w:r>
              <w:t xml:space="preserve">nchronic</w:t>
            </w:r>
          </w:p>
        </w:tc>
        <w:tc>
          <w:p w14:paraId="00100084" w14:textId="00100085">
            <w:r>
              <w:t xml:space="preserve">yes/no</w:t>
            </w:r>
          </w:p>
        </w:tc>
        <w:tc>
          <w:p w14:paraId="00100086" w14:textId="00100087">
            <w:r>
              <w:t xml:space="preserve">Binary</w:t>
            </w:r>
          </w:p>
        </w:tc>
        <w:tc>
          <w:p w14:paraId="00100088" w14:textId="00100089">
            <w:r>
              <w:t xml:space="preserve">Has a non-limiting chronic condition</w:t>
            </w:r>
          </w:p>
        </w:tc>
      </w:tr>
      <w:tr>
        <w:trPr/>
        <w:tc>
          <w:p w14:paraId="0010008A" w14:textId="0010008B">
            <w:r>
              <w:t xml:space="preserve">lchronic</w:t>
            </w:r>
          </w:p>
        </w:tc>
        <w:tc>
          <w:p w14:paraId="0010008C" w14:textId="0010008D">
            <w:r>
              <w:t xml:space="preserve">yes/no</w:t>
            </w:r>
          </w:p>
        </w:tc>
        <w:tc>
          <w:p w14:paraId="0010008E" w14:textId="0010008F">
            <w:r>
              <w:t xml:space="preserve">Binary</w:t>
            </w:r>
          </w:p>
        </w:tc>
        <w:tc>
          <w:p w14:paraId="00100090" w14:textId="00100091">
            <w:r>
              <w:t xml:space="preserve">Has a limiting chronic condition (affects daily activities)</w:t>
            </w:r>
          </w:p>
        </w:tc>
      </w:tr>
      <w:tr>
        <w:trPr/>
        <w:tc>
          <w:p w14:paraId="00100092" w14:textId="00100093">
            <w:r>
              <w:t xml:space="preserve">gender_encoded</w:t>
            </w:r>
          </w:p>
        </w:tc>
        <w:tc>
          <w:p w14:paraId="00100094" w14:textId="00100095">
            <w:r>
              <w:t xml:space="preserve">Integer</w:t>
            </w:r>
          </w:p>
        </w:tc>
        <w:tc>
          <w:p w14:paraId="00100096" w14:textId="00100097">
            <w:r>
              <w:t xml:space="preserve">0/1</w:t>
            </w:r>
          </w:p>
        </w:tc>
        <w:tc>
          <w:p w14:paraId="00100098" w14:textId="00100099">
            <w:r>
              <w:t xml:space="preserve">Engineered: 1=female, 0=male (for numerical analysis)</w:t>
            </w:r>
          </w:p>
        </w:tc>
      </w:tr>
    </w:tbl>
    <w:p w14:paraId="0010009A" w14:textId="0010009B">
      <w:pPr>
        <w:pStyle w:val="Heading1"/>
        <w:spacing w:before="360" w:after="160"/>
      </w:pPr>
      <w:r>
        <w:rPr>
          <w:b/>
          <w:sz w:val="32"/>
        </w:rPr>
        <w:t xml:space="preserve">3. Phase 1 — Data Audit</w:t>
      </w:r>
    </w:p>
    <w:p w14:paraId="0010009C" w14:textId="0010009D">
      <w:pPr>
        <w:pStyle w:val="Normal"/>
        <w:spacing w:after="160"/>
      </w:pPr>
      <w:r>
        <w:rPr>
          <w:sz w:val="22"/>
        </w:rPr>
        <w:t xml:space="preserve">The data audit was the first phase of the project, performed before any transformations to ensure all findings are grounded in the raw data.</w:t>
      </w:r>
    </w:p>
    <w:p w14:paraId="0010009E" w14:textId="0010009F">
      <w:pPr>
        <w:pStyle w:val="Heading2"/>
        <w:spacing w:before="160" w:after="120"/>
      </w:pPr>
      <w:r>
        <w:rPr>
          <w:b/>
          <w:sz w:val="26"/>
        </w:rPr>
        <w:t xml:space="preserve">3.1 Schema Validation</w:t>
      </w:r>
    </w:p>
    <w:p w14:paraId="001000A0" w14:textId="001000A1">
      <w:pPr>
        <w:pStyle w:val="Normal"/>
        <w:spacing w:after="160"/>
      </w:pPr>
      <w:r>
        <w:rPr>
          <w:sz w:val="22"/>
        </w:rPr>
        <w:t xml:space="preserve">The dataset loaded correctly with 5,190 rows and 13 columns. The first column is the row index. Column data types are: visits (int64), gender (object), age (float64), income (float64), illness (int64), reduced (int64), health (int64), private/freepoor/freerepat/nchronic/lchronic (all object, yes/no encoded).</w:t>
      </w:r>
    </w:p>
    <w:p w14:paraId="001000A2" w14:textId="001000A3">
      <w:pPr>
        <w:pStyle w:val="Heading2"/>
        <w:spacing w:before="160" w:after="120"/>
      </w:pPr>
      <w:r>
        <w:rPr>
          <w:b/>
          <w:sz w:val="26"/>
        </w:rPr>
        <w:t xml:space="preserve">3.2 Missing Values &amp; Duplicates</w:t>
      </w:r>
    </w:p>
    <w:p w14:paraId="001000A4" w14:textId="001000A5">
      <w:pPr>
        <w:pStyle w:val="Normal"/>
        <w:spacing w:after="160"/>
      </w:pPr>
      <w:r>
        <w:rPr>
          <w:sz w:val="22"/>
        </w:rPr>
        <w:t xml:space="preserve">No missing values were found in any column. No duplicate rows were detected. The dataset is complete and structurally clean.</w:t>
      </w:r>
    </w:p>
    <w:p w14:paraId="001000A6" w14:textId="001000A7">
      <w:pPr>
        <w:pStyle w:val="Heading2"/>
        <w:spacing w:before="160" w:after="120"/>
      </w:pPr>
      <w:r>
        <w:rPr>
          <w:b/>
          <w:sz w:val="26"/>
        </w:rPr>
        <w:t xml:space="preserve">3.3 Range &amp; Anomaly Checks</w:t>
      </w:r>
    </w:p>
    <w:p w14:paraId="001000A8" w14:textId="001000A9">
      <w:pPr>
        <w:pStyle w:val="Normal"/>
        <w:spacing w:after="120"/>
      </w:pPr>
      <w:r>
        <w:rPr>
          <w:sz w:val="22"/>
        </w:rPr>
        <w:t xml:space="preserve">The following anomalies and data quality notes were identified during the audit:</w:t>
      </w:r>
    </w:p>
    <w:p w14:paraId="001000AA" w14:textId="001000AB">
      <w:pPr>
        <w:pStyle w:val="Normal"/>
        <w:numPr>
          <w:ilvl w:val="0"/>
          <w:numId w:val="1"/>
        </w:numPr>
        <w:spacing w:after="80"/>
      </w:pPr>
      <w:r>
        <w:rPr>
          <w:sz w:val="22"/>
        </w:rPr>
        <w:t xml:space="preserve">Zero-Inflation: 4,141 patients (79.8%) recorded zero visits. This is a known property of count-based health utilisation data and must be accounted for in modelling.</w:t>
      </w:r>
    </w:p>
    <w:p w14:paraId="001000AC" w14:textId="001000AD">
      <w:pPr>
        <w:pStyle w:val="Normal"/>
        <w:numPr>
          <w:ilvl w:val="0"/>
          <w:numId w:val="1"/>
        </w:numPr>
        <w:spacing w:after="80"/>
      </w:pPr>
      <w:r>
        <w:rPr>
          <w:sz w:val="22"/>
        </w:rPr>
        <w:t xml:space="preserve">Age Scaling: The age column stores values in the range 0.19–0.72, consistent with age/100. Multiplying by 100 recovers approximate years (19–72). No ages outside plausible bounds were found.</w:t>
      </w:r>
    </w:p>
    <w:p w14:paraId="001000AE" w14:textId="001000AF">
      <w:pPr>
        <w:pStyle w:val="Normal"/>
        <w:numPr>
          <w:ilvl w:val="0"/>
          <w:numId w:val="1"/>
        </w:numPr>
        <w:spacing w:after="80"/>
      </w:pPr>
      <w:r>
        <w:rPr>
          <w:sz w:val="22"/>
        </w:rPr>
        <w:t xml:space="preserve">Income Zero Records: 10 records have income = 0, which may indicate unemployed or missing-income respondents. These are retained but flagged with a zero_income_flag feature.</w:t>
      </w:r>
    </w:p>
    <w:p w14:paraId="001000B0" w14:textId="001000B1">
      <w:pPr>
        <w:pStyle w:val="Normal"/>
        <w:numPr>
          <w:ilvl w:val="0"/>
          <w:numId w:val="1"/>
        </w:numPr>
        <w:spacing w:after="80"/>
      </w:pPr>
      <w:r>
        <w:rPr>
          <w:sz w:val="22"/>
        </w:rPr>
        <w:t xml:space="preserve">Income Upper Outliers: 34 records have income &gt; 1.0 (range: 1.05–1.50), slightly above the apparent normalisation range. These are valid and retained.</w:t>
      </w:r>
    </w:p>
    <w:p w14:paraId="001000B2" w14:textId="001000B3">
      <w:pPr>
        <w:pStyle w:val="Normal"/>
        <w:numPr>
          <w:ilvl w:val="0"/>
          <w:numId w:val="1"/>
        </w:numPr>
        <w:spacing w:after="80"/>
      </w:pPr>
      <w:r>
        <w:rPr>
          <w:sz w:val="22"/>
        </w:rPr>
        <w:t xml:space="preserve">High Utilisers: 93 patients recorded 3 or more visits. The maximum is 9 visits. No implausible values detected.</w:t>
      </w:r>
    </w:p>
    <w:p w14:paraId="001000B4" w14:textId="001000B5">
      <w:pPr>
        <w:pStyle w:val="Normal"/>
        <w:numPr>
          <w:ilvl w:val="0"/>
          <w:numId w:val="1"/>
        </w:numPr>
        <w:spacing w:after="160"/>
      </w:pPr>
      <w:r>
        <w:rPr>
          <w:sz w:val="22"/>
        </w:rPr>
        <w:t xml:space="preserve">Insurance Mutual Exclusivity: freepoor and private flags are mutually exclusive (no patient holds both). This was verified programmatically and confirmed zero conflicts.</w:t>
      </w:r>
    </w:p>
    <w:p w14:paraId="001000B6" w14:textId="001000B7">
      <w:pPr>
        <w:pStyle w:val="Heading1"/>
        <w:spacing w:before="360" w:after="160"/>
      </w:pPr>
      <w:r>
        <w:rPr>
          <w:b/>
          <w:sz w:val="32"/>
        </w:rPr>
        <w:t xml:space="preserve">4. Phase 2 — Data Cleaning</w:t>
      </w:r>
    </w:p>
    <w:p w14:paraId="001000B8" w14:textId="001000B9">
      <w:pPr>
        <w:pStyle w:val="Normal"/>
        <w:spacing w:after="160"/>
      </w:pPr>
      <w:r>
        <w:rPr>
          <w:sz w:val="22"/>
        </w:rPr>
        <w:t xml:space="preserve">Cleaning operations were minimal, reflecting the already-clean state of the dataset. No rows were dropped.</w:t>
      </w:r>
    </w:p>
    <w:p w14:paraId="001000BA" w14:textId="001000BB">
      <w:pPr>
        <w:pStyle w:val="Normal"/>
        <w:numPr>
          <w:ilvl w:val="0"/>
          <w:numId w:val="2"/>
        </w:numPr>
        <w:spacing w:after="80"/>
      </w:pPr>
      <w:r>
        <w:rPr>
          <w:sz w:val="22"/>
        </w:rPr>
        <w:t xml:space="preserve">Binary Encoding: All yes/no columns (private, freepoor, freerepat, nchronic, lchronic) were mapped to integers (1=yes, 0=no) for numerical analysis.</w:t>
      </w:r>
    </w:p>
    <w:p w14:paraId="001000BC" w14:textId="001000BD">
      <w:pPr>
        <w:pStyle w:val="Normal"/>
        <w:numPr>
          <w:ilvl w:val="0"/>
          <w:numId w:val="2"/>
        </w:numPr>
        <w:spacing w:after="80"/>
      </w:pPr>
      <w:r>
        <w:rPr>
          <w:sz w:val="22"/>
        </w:rPr>
        <w:t xml:space="preserve">Gender Encoding: A gender_encoded column was created (1=female, 0=male) for use in correlation and regression analysis.</w:t>
      </w:r>
    </w:p>
    <w:p w14:paraId="001000BE" w14:textId="001000BF">
      <w:pPr>
        <w:pStyle w:val="Normal"/>
        <w:numPr>
          <w:ilvl w:val="0"/>
          <w:numId w:val="2"/>
        </w:numPr>
        <w:spacing w:after="80"/>
      </w:pPr>
      <w:r>
        <w:rPr>
          <w:sz w:val="22"/>
        </w:rPr>
        <w:t xml:space="preserve">Age Recovery: age_years = round(age × 100) to restore interpretable age in years.</w:t>
      </w:r>
    </w:p>
    <w:p w14:paraId="001000C0" w14:textId="001000C1">
      <w:pPr>
        <w:pStyle w:val="Normal"/>
        <w:numPr>
          <w:ilvl w:val="0"/>
          <w:numId w:val="2"/>
        </w:numPr>
        <w:spacing w:after="160"/>
      </w:pPr>
      <w:r>
        <w:rPr>
          <w:sz w:val="22"/>
        </w:rPr>
        <w:t xml:space="preserve">Zero Income Flag: zero_income_flag = 1 where income == 0, enabling subgroup analysis of this cohort.</w:t>
      </w:r>
    </w:p>
    <w:p w14:paraId="001000C2" w14:textId="001000C3">
      <w:pPr>
        <w:pStyle w:val="Heading1"/>
        <w:spacing w:before="360" w:after="160"/>
      </w:pPr>
      <w:r>
        <w:rPr>
          <w:b/>
          <w:sz w:val="32"/>
        </w:rPr>
        <w:t xml:space="preserve">5. Phase 3 — Feature Engineering</w:t>
      </w:r>
    </w:p>
    <w:p w14:paraId="001000C4" w14:textId="001000C5">
      <w:pPr>
        <w:pStyle w:val="Normal"/>
        <w:spacing w:after="160"/>
      </w:pPr>
      <w:r>
        <w:rPr>
          <w:sz w:val="22"/>
        </w:rPr>
        <w:t xml:space="preserve">Seven new analytical features were derived from the original variables to support segmentation and deeper analysis: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6" w14:textId="001000C7">
            <w:r>
              <w:t xml:space="preserve">Feature</w:t>
            </w:r>
          </w:p>
        </w:tc>
        <w:tc>
          <w:p w14:paraId="001000C8" w14:textId="001000C9">
            <w:r>
              <w:t xml:space="preserve">Logic</w:t>
            </w:r>
          </w:p>
        </w:tc>
        <w:tc>
          <w:p w14:paraId="001000CA" w14:textId="001000CB">
            <w:r>
              <w:t xml:space="preserve">Purpose</w:t>
            </w:r>
          </w:p>
        </w:tc>
      </w:tr>
      <w:tr>
        <w:trPr/>
        <w:tc>
          <w:p w14:paraId="001000CC" w14:textId="001000CD">
            <w:r>
              <w:t xml:space="preserve">visited</w:t>
            </w:r>
          </w:p>
        </w:tc>
        <w:tc>
          <w:p w14:paraId="001000CE" w14:textId="001000CF">
            <w:r>
              <w:t xml:space="preserve">visits &gt; 0 → 1 else 0</w:t>
            </w:r>
          </w:p>
        </w:tc>
        <w:tc>
          <w:p w14:paraId="001000D0" w14:textId="001000D1">
            <w:r>
              <w:t xml:space="preserve">Binary: any GP visit vs none</w:t>
            </w:r>
          </w:p>
        </w:tc>
      </w:tr>
      <w:tr>
        <w:trPr/>
        <w:tc>
          <w:p w14:paraId="001000D2" w14:textId="001000D3">
            <w:r>
              <w:t xml:space="preserve">high_utiliser</w:t>
            </w:r>
          </w:p>
        </w:tc>
        <w:tc>
          <w:p w14:paraId="001000D4" w14:textId="001000D5">
            <w:r>
              <w:t xml:space="preserve">visits &gt;= 3 → 1 else 0</w:t>
            </w:r>
          </w:p>
        </w:tc>
        <w:tc>
          <w:p w14:paraId="001000D6" w14:textId="001000D7">
            <w:r>
              <w:t xml:space="preserve">Flags top-utilisation patients (top ~3.5%)</w:t>
            </w:r>
          </w:p>
        </w:tc>
      </w:tr>
      <w:tr>
        <w:trPr/>
        <w:tc>
          <w:p w14:paraId="001000D8" w14:textId="001000D9">
            <w:r>
              <w:t xml:space="preserve">insurance_type</w:t>
            </w:r>
          </w:p>
        </w:tc>
        <w:tc>
          <w:p w14:paraId="001000DA" w14:textId="001000DB">
            <w:r>
              <w:t xml:space="preserve">Hierarchy: freepoor → freerepat → private → Uninsured</w:t>
            </w:r>
          </w:p>
        </w:tc>
        <w:tc>
          <w:p w14:paraId="001000DC" w14:textId="001000DD">
            <w:r>
              <w:t xml:space="preserve">Four-category coverage type</w:t>
            </w:r>
          </w:p>
        </w:tc>
      </w:tr>
      <w:tr>
        <w:trPr/>
        <w:tc>
          <w:p w14:paraId="001000DE" w14:textId="001000DF">
            <w:r>
              <w:t xml:space="preserve">chronic_burden</w:t>
            </w:r>
          </w:p>
        </w:tc>
        <w:tc>
          <w:p w14:paraId="001000E0" w14:textId="001000E1">
            <w:r>
              <w:t xml:space="preserve">nchronic + lchronic</w:t>
            </w:r>
          </w:p>
        </w:tc>
        <w:tc>
          <w:p w14:paraId="001000E2" w14:textId="001000E3">
            <w:r>
              <w:t xml:space="preserve">Total chronic condition load (0, 1, or 2)</w:t>
            </w:r>
          </w:p>
        </w:tc>
      </w:tr>
      <w:tr>
        <w:trPr/>
        <w:tc>
          <w:p w14:paraId="001000E4" w14:textId="001000E5">
            <w:r>
              <w:t xml:space="preserve">illness_severity</w:t>
            </w:r>
          </w:p>
        </w:tc>
        <w:tc>
          <w:p w14:paraId="001000E6" w14:textId="001000E7">
            <w:r>
              <w:t xml:space="preserve">illness + (reduced × 0.5)</w:t>
            </w:r>
          </w:p>
        </w:tc>
        <w:tc>
          <w:p w14:paraId="001000E8" w14:textId="001000E9">
            <w:r>
              <w:t xml:space="preserve">Composite index of acute illness impact</w:t>
            </w:r>
          </w:p>
        </w:tc>
      </w:tr>
      <w:tr>
        <w:trPr/>
        <w:tc>
          <w:p w14:paraId="001000EA" w14:textId="001000EB">
            <w:r>
              <w:t xml:space="preserve">age_band</w:t>
            </w:r>
          </w:p>
        </w:tc>
        <w:tc>
          <w:p w14:paraId="001000EC" w14:textId="001000ED">
            <w:r>
              <w:t xml:space="preserve">pd.cut: &lt;30, 30–44, 45–59, 60+</w:t>
            </w:r>
          </w:p>
        </w:tc>
        <w:tc>
          <w:p w14:paraId="001000EE" w14:textId="001000EF">
            <w:r>
              <w:t xml:space="preserve">Age group segmentation</w:t>
            </w:r>
          </w:p>
        </w:tc>
      </w:tr>
      <w:tr>
        <w:trPr/>
        <w:tc>
          <w:p w14:paraId="001000F0" w14:textId="001000F1">
            <w:r>
              <w:t xml:space="preserve">income_quartile</w:t>
            </w:r>
          </w:p>
        </w:tc>
        <w:tc>
          <w:p w14:paraId="001000F2" w14:textId="001000F3">
            <w:r>
              <w:t xml:space="preserve">pd.qcut(income, q=4)</w:t>
            </w:r>
          </w:p>
        </w:tc>
        <w:tc>
          <w:p w14:paraId="001000F4" w14:textId="001000F5">
            <w:r>
              <w:t xml:space="preserve">Income tier for equity analysis</w:t>
            </w:r>
          </w:p>
        </w:tc>
      </w:tr>
      <w:tr>
        <w:trPr/>
        <w:tc>
          <w:p w14:paraId="001000F6" w14:textId="001000F7">
            <w:r>
              <w:t xml:space="preserve">zero_income_flag</w:t>
            </w:r>
          </w:p>
        </w:tc>
        <w:tc>
          <w:p w14:paraId="001000F8" w14:textId="001000F9">
            <w:r>
              <w:t xml:space="preserve">income == 0 → 1 else 0</w:t>
            </w:r>
          </w:p>
        </w:tc>
        <w:tc>
          <w:p w14:paraId="001000FA" w14:textId="001000FB">
            <w:r>
              <w:t xml:space="preserve">Flags potential data-quality / unemployment cases</w:t>
            </w:r>
          </w:p>
        </w:tc>
      </w:tr>
    </w:tbl>
    <w:p w14:paraId="001000FC" w14:textId="001000FD">
      <w:pPr>
        <w:pStyle w:val="Heading1"/>
        <w:spacing w:before="360" w:after="160"/>
      </w:pPr>
      <w:r>
        <w:rPr>
          <w:b/>
          <w:sz w:val="32"/>
        </w:rPr>
        <w:t xml:space="preserve">6. Phase 4 — Exploratory Data Analysis (EDA)</w:t>
      </w:r>
    </w:p>
    <w:p w14:paraId="001000FE" w14:textId="001000FF">
      <w:pPr>
        <w:pStyle w:val="Normal"/>
        <w:spacing w:after="160"/>
      </w:pPr>
      <w:r>
        <w:rPr>
          <w:sz w:val="22"/>
        </w:rPr>
        <w:t xml:space="preserve">The EDA phase produced 14 purposeful visualisations, each addressing a specific analytical question. All charts are saved in the figures/ directory.</w:t>
      </w:r>
    </w:p>
    <w:p w14:paraId="00100100" w14:textId="00100101">
      <w:pPr>
        <w:pStyle w:val="Heading2"/>
        <w:spacing w:before="160" w:after="120"/>
      </w:pPr>
      <w:r>
        <w:rPr>
          <w:b/>
          <w:sz w:val="26"/>
        </w:rPr>
        <w:t xml:space="preserve">6.1 Target Variable: Doctor Visits (visits)</w:t>
      </w:r>
    </w:p>
    <w:p w14:paraId="00100102" w14:textId="00100103">
      <w:pPr>
        <w:pStyle w:val="Normal"/>
        <w:spacing w:after="160"/>
      </w:pPr>
      <w:r>
        <w:rPr>
          <w:sz w:val="22"/>
        </w:rPr>
        <w:t xml:space="preserve">The visits distribution is severely right-skewed and zero-inflated. 79.8% of patients (4,141) had zero GP visits. Only 1,049 patients (20.2%) had at least one visit. The maximum is 9 visits. This zero-inflation is a critical characteristic for any predictive modelling — standard linear regression is inappropriate; zero-inflated Poisson or negative binomial models are recommended.</w:t>
      </w:r>
    </w:p>
    <w:p w14:paraId="00100104" w14:textId="00100105">
      <w:pPr>
        <w:pStyle w:val="Heading2"/>
        <w:spacing w:before="160" w:after="120"/>
      </w:pPr>
      <w:r>
        <w:rPr>
          <w:b/>
          <w:sz w:val="26"/>
        </w:rPr>
        <w:t xml:space="preserve">6.2 Continuous Variable Distributions</w:t>
      </w:r>
    </w:p>
    <w:p w14:paraId="00100106" w14:textId="00100107">
      <w:pPr>
        <w:pStyle w:val="Normal"/>
        <w:numPr>
          <w:ilvl w:val="0"/>
          <w:numId w:val="3"/>
        </w:numPr>
        <w:spacing w:after="80"/>
      </w:pPr>
      <w:r>
        <w:rPr>
          <w:sz w:val="22"/>
        </w:rPr>
        <w:t xml:space="preserve">Age (years): approximately normally distributed, range 19–72, median ~36 years. The cohort represents a wide cross-section of working-age and older adults.</w:t>
      </w:r>
    </w:p>
    <w:p w14:paraId="00100108" w14:textId="00100109">
      <w:pPr>
        <w:pStyle w:val="Normal"/>
        <w:numPr>
          <w:ilvl w:val="0"/>
          <w:numId w:val="3"/>
        </w:numPr>
        <w:spacing w:after="80"/>
      </w:pPr>
      <w:r>
        <w:rPr>
          <w:sz w:val="22"/>
        </w:rPr>
        <w:t xml:space="preserve">Income (scaled): right-skewed with most patients clustering in the 0.2–0.8 range. A small proportion earns above 1.0 (normalised scale).</w:t>
      </w:r>
    </w:p>
    <w:p w14:paraId="0010010A" w14:textId="0010010B">
      <w:pPr>
        <w:pStyle w:val="Normal"/>
        <w:numPr>
          <w:ilvl w:val="0"/>
          <w:numId w:val="3"/>
        </w:numPr>
        <w:spacing w:after="80"/>
      </w:pPr>
      <w:r>
        <w:rPr>
          <w:sz w:val="22"/>
        </w:rPr>
        <w:t xml:space="preserve">Illness count: right-skewed. The majority of patients report 0–2 illnesses. Higher illness counts are rare (5 conditions: only 236 patients).</w:t>
      </w:r>
    </w:p>
    <w:p w14:paraId="0010010C" w14:textId="0010010D">
      <w:pPr>
        <w:pStyle w:val="Normal"/>
        <w:numPr>
          <w:ilvl w:val="0"/>
          <w:numId w:val="3"/>
        </w:numPr>
        <w:spacing w:after="160"/>
      </w:pPr>
      <w:r>
        <w:rPr>
          <w:sz w:val="22"/>
        </w:rPr>
        <w:t xml:space="preserve">Reduced activity days and self-rated health: both extremely right-skewed, concentrated near zero.</w:t>
      </w:r>
    </w:p>
    <w:p w14:paraId="0010010E" w14:textId="0010010F">
      <w:pPr>
        <w:pStyle w:val="Heading2"/>
        <w:spacing w:before="160" w:after="120"/>
      </w:pPr>
      <w:r>
        <w:rPr>
          <w:b/>
          <w:sz w:val="26"/>
        </w:rPr>
        <w:t xml:space="preserve">6.3 Visit Patterns by Demographic and Socioeconomic Factors</w:t>
      </w:r>
    </w:p>
    <w:p w14:paraId="00100110" w14:textId="00100111">
      <w:pPr>
        <w:pStyle w:val="Normal"/>
        <w:numPr>
          <w:ilvl w:val="0"/>
          <w:numId w:val="4"/>
        </w:numPr>
        <w:spacing w:after="80"/>
      </w:pPr>
      <w:r>
        <w:rPr>
          <w:sz w:val="22"/>
        </w:rPr>
        <w:t xml:space="preserve">Gender: Females have a higher visit rate (22.8%) compared to males (17.3%). This difference is statistically significant (Mann-Whitney p &lt; 0.05).</w:t>
      </w:r>
    </w:p>
    <w:p w14:paraId="00100112" w14:textId="00100113">
      <w:pPr>
        <w:pStyle w:val="Normal"/>
        <w:numPr>
          <w:ilvl w:val="0"/>
          <w:numId w:val="4"/>
        </w:numPr>
        <w:spacing w:after="80"/>
      </w:pPr>
      <w:r>
        <w:rPr>
          <w:sz w:val="22"/>
        </w:rPr>
        <w:t xml:space="preserve">Age: The 60+ age band shows the highest visit propensity, consistent with greater health needs in older populations.</w:t>
      </w:r>
    </w:p>
    <w:p w14:paraId="00100114" w14:textId="00100115">
      <w:pPr>
        <w:pStyle w:val="Normal"/>
        <w:numPr>
          <w:ilvl w:val="0"/>
          <w:numId w:val="4"/>
        </w:numPr>
        <w:spacing w:after="80"/>
      </w:pPr>
      <w:r>
        <w:rPr>
          <w:sz w:val="22"/>
        </w:rPr>
        <w:t xml:space="preserve">Insurance Type: Government-FP (freepoor) and Repatriation card holders visit more frequently than private or uninsured patients, suggesting these populations have higher health needs.</w:t>
      </w:r>
    </w:p>
    <w:p w14:paraId="00100116" w14:textId="00100117">
      <w:pPr>
        <w:pStyle w:val="Normal"/>
        <w:numPr>
          <w:ilvl w:val="0"/>
          <w:numId w:val="4"/>
        </w:numPr>
        <w:spacing w:after="160"/>
      </w:pPr>
      <w:r>
        <w:rPr>
          <w:sz w:val="22"/>
        </w:rPr>
        <w:t xml:space="preserve">Income: A modest inverse relationship — lower income quartiles show slightly reduced utilisation, consistent with cost and access barriers.</w:t>
      </w:r>
    </w:p>
    <w:p w14:paraId="00100118" w14:textId="00100119">
      <w:pPr>
        <w:pStyle w:val="Heading1"/>
        <w:spacing w:before="360" w:after="160"/>
      </w:pPr>
      <w:r>
        <w:rPr>
          <w:b/>
          <w:sz w:val="32"/>
        </w:rPr>
        <w:t xml:space="preserve">7. Phase 5 — Statistical Analysis</w:t>
      </w:r>
    </w:p>
    <w:p w14:paraId="0010011A" w14:textId="0010011B">
      <w:pPr>
        <w:pStyle w:val="Normal"/>
        <w:spacing w:after="160"/>
      </w:pPr>
      <w:r>
        <w:rPr>
          <w:sz w:val="22"/>
        </w:rPr>
        <w:t xml:space="preserve">All statistical tests used non-parametric methods given the non-normal, count-based distribution of the target variable.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1C" w14:textId="0010011D">
            <w:r>
              <w:t xml:space="preserve">Test</w:t>
            </w:r>
          </w:p>
        </w:tc>
        <w:tc>
          <w:p w14:paraId="0010011E" w14:textId="0010011F">
            <w:r>
              <w:t xml:space="preserve">Variables Tested</w:t>
            </w:r>
          </w:p>
        </w:tc>
        <w:tc>
          <w:p w14:paraId="00100120" w14:textId="00100121">
            <w:r>
              <w:t xml:space="preserve">Statistic</w:t>
            </w:r>
          </w:p>
        </w:tc>
        <w:tc>
          <w:p w14:paraId="00100122" w14:textId="00100123">
            <w:r>
              <w:t xml:space="preserve">p-value</w:t>
            </w:r>
          </w:p>
        </w:tc>
        <w:tc>
          <w:p w14:paraId="00100124" w14:textId="00100125">
            <w:r>
              <w:t xml:space="preserve">Conclusion</w:t>
            </w:r>
          </w:p>
        </w:tc>
      </w:tr>
      <w:tr>
        <w:trPr/>
        <w:tc>
          <w:p w14:paraId="00100126" w14:textId="00100127">
            <w:r>
              <w:t xml:space="preserve">Mann-Whitney U</w:t>
            </w:r>
          </w:p>
        </w:tc>
        <w:tc>
          <w:p w14:paraId="00100128" w14:textId="00100129">
            <w:r>
              <w:t xml:space="preserve">Gender vs Visits</w:t>
            </w:r>
          </w:p>
        </w:tc>
        <w:tc>
          <w:p w14:paraId="0010012A" w14:textId="0010012B">
            <w:r>
              <w:t xml:space="preserve">U statistic</w:t>
            </w:r>
          </w:p>
        </w:tc>
        <w:tc>
          <w:p w14:paraId="0010012C" w14:textId="0010012D">
            <w:r>
              <w:t xml:space="preserve">&lt; 0.05</w:t>
            </w:r>
          </w:p>
        </w:tc>
        <w:tc>
          <w:p w14:paraId="0010012E" w14:textId="0010012F">
            <w:r>
              <w:t xml:space="preserve">Females visit significantly more</w:t>
            </w:r>
          </w:p>
        </w:tc>
      </w:tr>
      <w:tr>
        <w:trPr/>
        <w:tc>
          <w:p w14:paraId="00100130" w14:textId="00100131">
            <w:r>
              <w:t xml:space="preserve">Kruskal-Wallis</w:t>
            </w:r>
          </w:p>
        </w:tc>
        <w:tc>
          <w:p w14:paraId="00100132" w14:textId="00100133">
            <w:r>
              <w:t xml:space="preserve">Insurance Type vs Visits</w:t>
            </w:r>
          </w:p>
        </w:tc>
        <w:tc>
          <w:p w14:paraId="00100134" w14:textId="00100135">
            <w:r>
              <w:t xml:space="preserve">H statistic</w:t>
            </w:r>
          </w:p>
        </w:tc>
        <w:tc>
          <w:p w14:paraId="00100136" w14:textId="00100137">
            <w:r>
              <w:t xml:space="preserve">&lt; 0.001</w:t>
            </w:r>
          </w:p>
        </w:tc>
        <w:tc>
          <w:p w14:paraId="00100138" w14:textId="00100139">
            <w:r>
              <w:t xml:space="preserve">Insurance type significantly predicts visits</w:t>
            </w:r>
          </w:p>
        </w:tc>
      </w:tr>
      <w:tr>
        <w:trPr/>
        <w:tc>
          <w:p w14:paraId="0010013A" w14:textId="0010013B">
            <w:r>
              <w:t xml:space="preserve">Kruskal-Wallis</w:t>
            </w:r>
          </w:p>
        </w:tc>
        <w:tc>
          <w:p w14:paraId="0010013C" w14:textId="0010013D">
            <w:r>
              <w:t xml:space="preserve">Age Band vs Visits</w:t>
            </w:r>
          </w:p>
        </w:tc>
        <w:tc>
          <w:p w14:paraId="0010013E" w14:textId="0010013F">
            <w:r>
              <w:t xml:space="preserve">H statistic</w:t>
            </w:r>
          </w:p>
        </w:tc>
        <w:tc>
          <w:p w14:paraId="00100140" w14:textId="00100141">
            <w:r>
              <w:t xml:space="preserve">&lt; 0.001</w:t>
            </w:r>
          </w:p>
        </w:tc>
        <w:tc>
          <w:p w14:paraId="00100142" w14:textId="00100143">
            <w:r>
              <w:t xml:space="preserve">Older patients visit significantly more</w:t>
            </w:r>
          </w:p>
        </w:tc>
      </w:tr>
      <w:tr>
        <w:trPr/>
        <w:tc>
          <w:p w14:paraId="00100144" w14:textId="00100145">
            <w:r>
              <w:t xml:space="preserve">Spearman Correlation</w:t>
            </w:r>
          </w:p>
        </w:tc>
        <w:tc>
          <w:p w14:paraId="00100146" w14:textId="00100147">
            <w:r>
              <w:t xml:space="preserve">illness vs visits</w:t>
            </w:r>
          </w:p>
        </w:tc>
        <w:tc>
          <w:p w14:paraId="00100148" w14:textId="00100149">
            <w:r>
              <w:t xml:space="preserve">ρ ≈ +0.22</w:t>
            </w:r>
          </w:p>
        </w:tc>
        <w:tc>
          <w:p w14:paraId="0010014A" w14:textId="0010014B">
            <w:r>
              <w:t xml:space="preserve">&lt; 0.001</w:t>
            </w:r>
          </w:p>
        </w:tc>
        <w:tc>
          <w:p w14:paraId="0010014C" w14:textId="0010014D">
            <w:r>
              <w:t xml:space="preserve">Strongest predictor — illness count</w:t>
            </w:r>
          </w:p>
        </w:tc>
      </w:tr>
      <w:tr>
        <w:trPr/>
        <w:tc>
          <w:p w14:paraId="0010014E" w14:textId="0010014F">
            <w:r>
              <w:t xml:space="preserve">Spearman Correlation</w:t>
            </w:r>
          </w:p>
        </w:tc>
        <w:tc>
          <w:p w14:paraId="00100150" w14:textId="00100151">
            <w:r>
              <w:t xml:space="preserve">reduced vs visits</w:t>
            </w:r>
          </w:p>
        </w:tc>
        <w:tc>
          <w:p w14:paraId="00100152" w14:textId="00100153">
            <w:r>
              <w:t xml:space="preserve">ρ ≈ +0.18</w:t>
            </w:r>
          </w:p>
        </w:tc>
        <w:tc>
          <w:p w14:paraId="00100154" w14:textId="00100155">
            <w:r>
              <w:t xml:space="preserve">&lt; 0.001</w:t>
            </w:r>
          </w:p>
        </w:tc>
        <w:tc>
          <w:p w14:paraId="00100156" w14:textId="00100157">
            <w:r>
              <w:t xml:space="preserve">Reduced activity days drive visits</w:t>
            </w:r>
          </w:p>
        </w:tc>
      </w:tr>
      <w:tr>
        <w:trPr/>
        <w:tc>
          <w:p w14:paraId="00100158" w14:textId="00100159">
            <w:r>
              <w:t xml:space="preserve">Chi-Square</w:t>
            </w:r>
          </w:p>
        </w:tc>
        <w:tc>
          <w:p w14:paraId="0010015A" w14:textId="0010015B">
            <w:r>
              <w:t xml:space="preserve">Insurance Type vs Visited</w:t>
            </w:r>
          </w:p>
        </w:tc>
        <w:tc>
          <w:p w14:paraId="0010015C" w14:textId="0010015D">
            <w:r>
              <w:t xml:space="preserve">χ² statistic</w:t>
            </w:r>
          </w:p>
        </w:tc>
        <w:tc>
          <w:p w14:paraId="0010015E" w14:textId="0010015F">
            <w:r>
              <w:t xml:space="preserve">&lt; 0.001</w:t>
            </w:r>
          </w:p>
        </w:tc>
        <w:tc>
          <w:p w14:paraId="00100160" w14:textId="00100161">
            <w:r>
              <w:t xml:space="preserve">Insurance type and visit propensity are dependent</w:t>
            </w:r>
          </w:p>
        </w:tc>
      </w:tr>
    </w:tbl>
    <w:p w14:paraId="00100162" w14:textId="00100163">
      <w:pPr>
        <w:pStyle w:val="Normal"/>
        <w:spacing w:before="200" w:after="120"/>
      </w:pPr>
      <w:r>
        <w:rPr>
          <w:sz w:val="22"/>
        </w:rPr>
        <w:t xml:space="preserve">Spearman Correlation Ranking (top 5 features correlated with visits):</w:t>
      </w:r>
    </w:p>
    <w:p w14:paraId="00100164" w14:textId="00100165">
      <w:pPr>
        <w:pStyle w:val="Normal"/>
        <w:numPr>
          <w:ilvl w:val="0"/>
          <w:numId w:val="5"/>
        </w:numPr>
        <w:spacing w:after="80"/>
      </w:pPr>
      <w:r>
        <w:rPr>
          <w:sz w:val="22"/>
        </w:rPr>
        <w:t xml:space="preserve">1. illness_severity (composite index) — ρ ≈ +0.24</w:t>
      </w:r>
    </w:p>
    <w:p w14:paraId="00100166" w14:textId="00100167">
      <w:pPr>
        <w:pStyle w:val="Normal"/>
        <w:numPr>
          <w:ilvl w:val="0"/>
          <w:numId w:val="5"/>
        </w:numPr>
        <w:spacing w:after="80"/>
      </w:pPr>
      <w:r>
        <w:rPr>
          <w:sz w:val="22"/>
        </w:rPr>
        <w:t xml:space="preserve">2. illness (count) — ρ ≈ +0.22</w:t>
      </w:r>
    </w:p>
    <w:p w14:paraId="00100168" w14:textId="00100169">
      <w:pPr>
        <w:pStyle w:val="Normal"/>
        <w:numPr>
          <w:ilvl w:val="0"/>
          <w:numId w:val="5"/>
        </w:numPr>
        <w:spacing w:after="80"/>
      </w:pPr>
      <w:r>
        <w:rPr>
          <w:sz w:val="22"/>
        </w:rPr>
        <w:t xml:space="preserve">3. reduced (activity days) — ρ ≈ +0.18</w:t>
      </w:r>
    </w:p>
    <w:p w14:paraId="0010016A" w14:textId="0010016B">
      <w:pPr>
        <w:pStyle w:val="Normal"/>
        <w:numPr>
          <w:ilvl w:val="0"/>
          <w:numId w:val="5"/>
        </w:numPr>
        <w:spacing w:after="80"/>
      </w:pPr>
      <w:r>
        <w:rPr>
          <w:sz w:val="22"/>
        </w:rPr>
        <w:t xml:space="preserve">4. lchronic (limiting chronic condition) — ρ ≈ +0.10</w:t>
      </w:r>
    </w:p>
    <w:p w14:paraId="0010016C" w14:textId="0010016D">
      <w:pPr>
        <w:pStyle w:val="Normal"/>
        <w:numPr>
          <w:ilvl w:val="0"/>
          <w:numId w:val="5"/>
        </w:numPr>
        <w:spacing w:after="160"/>
      </w:pPr>
      <w:r>
        <w:rPr>
          <w:sz w:val="22"/>
        </w:rPr>
        <w:t xml:space="preserve">5. nchronic (non-limiting chronic) — ρ ≈ +0.08</w:t>
      </w:r>
    </w:p>
    <w:p w14:paraId="0010016E" w14:textId="0010016F">
      <w:pPr>
        <w:pStyle w:val="Normal"/>
        <w:spacing w:after="160"/>
      </w:pPr>
      <w:r>
        <w:rPr>
          <w:sz w:val="22"/>
        </w:rPr>
        <w:t xml:space="preserve">Income shows a small negative correlation (ρ ≈ −0.03), suggesting a modest but consistent equity effect where higher-income patients visit slightly less. The health self-rating score shows a positive correlation (ρ ≈ +0.06), consistent with patients rating their health worse when they require more care.</w:t>
      </w:r>
    </w:p>
    <w:p w14:paraId="00100170" w14:textId="00100171">
      <w:pPr>
        <w:pStyle w:val="Heading1"/>
        <w:spacing w:before="360" w:after="160"/>
      </w:pPr>
      <w:r>
        <w:rPr>
          <w:b/>
          <w:sz w:val="32"/>
        </w:rPr>
        <w:t xml:space="preserve">8. Phase 6 — Healthcare &amp; Business Insights</w:t>
      </w:r>
    </w:p>
    <w:p w14:paraId="00100172" w14:textId="00100173">
      <w:pPr>
        <w:pStyle w:val="Normal"/>
        <w:spacing w:after="160"/>
      </w:pPr>
      <w:r>
        <w:rPr>
          <w:sz w:val="22"/>
        </w:rPr>
        <w:t xml:space="preserve">The following five insights are directly derived from the data analysis and supported by statistical evidence:</w:t>
      </w:r>
    </w:p>
    <w:p w14:paraId="00100174" w14:textId="00100175">
      <w:pPr>
        <w:pStyle w:val="Heading2"/>
        <w:spacing w:before="160" w:after="120"/>
      </w:pPr>
      <w:r>
        <w:rPr>
          <w:b/>
          <w:sz w:val="26"/>
        </w:rPr>
        <w:t xml:space="preserve">INSIGHT 1 — Severe Zero-Inflation Signals Access Barriers</w:t>
      </w:r>
    </w:p>
    <w:p w14:paraId="00100176" w14:textId="00100177">
      <w:pPr>
        <w:pStyle w:val="Normal"/>
        <w:spacing w:after="160"/>
      </w:pPr>
      <w:r>
        <w:rPr>
          <w:sz w:val="22"/>
        </w:rPr>
        <w:t xml:space="preserve">79.8% of patients (4,141 of 5,190) had zero GP visits in the two-week window. Among these non-visitors, the average illness count is 0.91 and the average health score is 1.49, indicating that many are not symptom-free. This suggests access and cost barriers prevent a meaningful subset of the population from seeking care when needed. The freepoor segment (government low-income card) has a lower zero-visit rate than the uninsured — confirming that even partial subsidisation reduces access barriers.</w:t>
      </w:r>
    </w:p>
    <w:p w14:paraId="00100178" w14:textId="00100179">
      <w:pPr>
        <w:pStyle w:val="Heading2"/>
        <w:spacing w:before="160" w:after="120"/>
      </w:pPr>
      <w:r>
        <w:rPr>
          <w:b/>
          <w:sz w:val="26"/>
        </w:rPr>
        <w:t xml:space="preserve">INSIGHT 2 — Gender Gap in Healthcare Utilisation</w:t>
      </w:r>
    </w:p>
    <w:p w14:paraId="0010017A" w14:textId="0010017B">
      <w:pPr>
        <w:pStyle w:val="Normal"/>
        <w:spacing w:after="160"/>
      </w:pPr>
      <w:r>
        <w:rPr>
          <w:sz w:val="22"/>
        </w:rPr>
        <w:t xml:space="preserve">Female patients exhibit a statistically significant higher visit rate (approximately 22.8%) compared to male patients (approximately 17.3%). The Mann-Whitney U test confirms this difference is not attributable to chance (p &lt; 0.05). This pattern is consistent with international healthcare utilisation literature, where women seek preventive and responsive care more frequently. Policy implications include targeted male health engagement campaigns and reviewing whether GP services are gender-accessible.</w:t>
      </w:r>
    </w:p>
    <w:p w14:paraId="0010017C" w14:textId="0010017D">
      <w:pPr>
        <w:pStyle w:val="Heading2"/>
        <w:spacing w:before="160" w:after="120"/>
      </w:pPr>
      <w:r>
        <w:rPr>
          <w:b/>
          <w:sz w:val="26"/>
        </w:rPr>
        <w:t xml:space="preserve">INSIGHT 3 — Limiting Chronic Conditions Are the Strongest Structural Driver</w:t>
      </w:r>
    </w:p>
    <w:p w14:paraId="0010017E" w14:textId="0010017F">
      <w:pPr>
        <w:pStyle w:val="Normal"/>
        <w:spacing w:after="160"/>
      </w:pPr>
      <w:r>
        <w:rPr>
          <w:sz w:val="22"/>
        </w:rPr>
        <w:t xml:space="preserve">Patients with a limiting chronic condition (lchronic=1) visit at 2–3× the rate of those without any chronic condition. The chronic_burden variable confirms a clear dose-response: burden 0 → lowest visits, burden 2 (both limiting and non-limiting) → highest. Chronic disease management programmes, care coordination, and proactive case management for these patients can reduce acute reactive visits and improve health outcomes.</w:t>
      </w:r>
    </w:p>
    <w:p w14:paraId="00100180" w14:textId="00100181">
      <w:pPr>
        <w:pStyle w:val="Heading2"/>
        <w:spacing w:before="160" w:after="120"/>
      </w:pPr>
      <w:r>
        <w:rPr>
          <w:b/>
          <w:sz w:val="26"/>
        </w:rPr>
        <w:t xml:space="preserve">INSIGHT 4 — Insurance Coverage Determines Access Patterns</w:t>
      </w:r>
    </w:p>
    <w:p w14:paraId="00100182" w14:textId="00100183">
      <w:pPr>
        <w:pStyle w:val="Normal"/>
        <w:spacing w:after="160"/>
      </w:pPr>
      <w:r>
        <w:rPr>
          <w:sz w:val="22"/>
        </w:rPr>
        <w:t xml:space="preserve">Insurance type is a statistically significant predictor of visit propensity (Chi-square p &lt; 0.001). Repatriation card holders (freerepat=yes) show the highest visit rates, consistent with their older demographic and military/veteran health needs. Uninsured patients show below-average visit rates despite carrying illness burden, a strong access equity signal. Private insurance does not significantly elevate visit frequency above the population average.</w:t>
      </w:r>
    </w:p>
    <w:p w14:paraId="00100184" w14:textId="00100185">
      <w:pPr>
        <w:pStyle w:val="Heading2"/>
        <w:spacing w:before="160" w:after="120"/>
      </w:pPr>
      <w:r>
        <w:rPr>
          <w:b/>
          <w:sz w:val="26"/>
        </w:rPr>
        <w:t xml:space="preserve">INSIGHT 5 — High Utilisers Are a Small, Concentrated Burden</w:t>
      </w:r>
    </w:p>
    <w:p w14:paraId="00100186" w14:textId="00100187">
      <w:pPr>
        <w:pStyle w:val="Normal"/>
        <w:spacing w:after="160"/>
      </w:pPr>
      <w:r>
        <w:rPr>
          <w:sz w:val="22"/>
        </w:rPr>
        <w:t xml:space="preserve">93 patients (approximately 1.8% of the cohort) had 3 or more visits. This high-utiliser segment accounts for a disproportionate share (~20%) of all recorded visits. These patients have significantly higher illness counts, more reduced activity days, greater chronic burden, and are more likely to hold government health cards. Dedicated care management for this cohort can reduce system strain and improve patient outcomes.</w:t>
      </w:r>
    </w:p>
    <w:p w14:paraId="00100188" w14:textId="00100189">
      <w:pPr>
        <w:pStyle w:val="Heading2"/>
        <w:spacing w:before="160" w:after="120"/>
      </w:pPr>
      <w:r>
        <w:rPr>
          <w:b/>
          <w:sz w:val="26"/>
        </w:rPr>
        <w:t xml:space="preserve">Key Performance Indicators — Patient Segment Summary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8A" w14:textId="0010018B">
            <w:r>
              <w:t xml:space="preserve">Segment</w:t>
            </w:r>
          </w:p>
        </w:tc>
        <w:tc>
          <w:p w14:paraId="0010018C" w14:textId="0010018D">
            <w:r>
              <w:t xml:space="preserve">N</w:t>
            </w:r>
          </w:p>
        </w:tc>
        <w:tc>
          <w:p w14:paraId="0010018E" w14:textId="0010018F">
            <w:r>
              <w:t xml:space="preserve">Visit Rate %</w:t>
            </w:r>
          </w:p>
        </w:tc>
        <w:tc>
          <w:p w14:paraId="00100190" w14:textId="00100191">
            <w:r>
              <w:t xml:space="preserve">Mean Visits</w:t>
            </w:r>
          </w:p>
        </w:tc>
      </w:tr>
      <w:tr>
        <w:trPr/>
        <w:tc>
          <w:p w14:paraId="00100192" w14:textId="00100193">
            <w:r>
              <w:t xml:space="preserve">All Patients</w:t>
            </w:r>
          </w:p>
        </w:tc>
        <w:tc>
          <w:p w14:paraId="00100194" w14:textId="00100195">
            <w:r>
              <w:t xml:space="preserve">5,190</w:t>
            </w:r>
          </w:p>
        </w:tc>
        <w:tc>
          <w:p w14:paraId="00100196" w14:textId="00100197">
            <w:r>
              <w:t xml:space="preserve">20.2%</w:t>
            </w:r>
          </w:p>
        </w:tc>
        <w:tc>
          <w:p w14:paraId="00100198" w14:textId="00100199">
            <w:r>
              <w:t xml:space="preserve">0.302</w:t>
            </w:r>
          </w:p>
        </w:tc>
      </w:tr>
      <w:tr>
        <w:trPr/>
        <w:tc>
          <w:p w14:paraId="0010019A" w14:textId="0010019B">
            <w:r>
              <w:t xml:space="preserve">Female</w:t>
            </w:r>
          </w:p>
        </w:tc>
        <w:tc>
          <w:p w14:paraId="0010019C" w14:textId="0010019D">
            <w:r>
              <w:t xml:space="preserve">2,702</w:t>
            </w:r>
          </w:p>
        </w:tc>
        <w:tc>
          <w:p w14:paraId="0010019E" w14:textId="0010019F">
            <w:r>
              <w:t xml:space="preserve">22.8%</w:t>
            </w:r>
          </w:p>
        </w:tc>
        <w:tc>
          <w:p w14:paraId="001001A0" w14:textId="001001A1">
            <w:r>
              <w:t xml:space="preserve">0.341</w:t>
            </w:r>
          </w:p>
        </w:tc>
      </w:tr>
      <w:tr>
        <w:trPr/>
        <w:tc>
          <w:p w14:paraId="001001A2" w14:textId="001001A3">
            <w:r>
              <w:t xml:space="preserve">Male</w:t>
            </w:r>
          </w:p>
        </w:tc>
        <w:tc>
          <w:p w14:paraId="001001A4" w14:textId="001001A5">
            <w:r>
              <w:t xml:space="preserve">2,488</w:t>
            </w:r>
          </w:p>
        </w:tc>
        <w:tc>
          <w:p w14:paraId="001001A6" w14:textId="001001A7">
            <w:r>
              <w:t xml:space="preserve">17.3%</w:t>
            </w:r>
          </w:p>
        </w:tc>
        <w:tc>
          <w:p w14:paraId="001001A8" w14:textId="001001A9">
            <w:r>
              <w:t xml:space="preserve">0.259</w:t>
            </w:r>
          </w:p>
        </w:tc>
      </w:tr>
      <w:tr>
        <w:trPr/>
        <w:tc>
          <w:p w14:paraId="001001AA" w14:textId="001001AB">
            <w:r>
              <w:t xml:space="preserve">Limiting Chronic</w:t>
            </w:r>
          </w:p>
        </w:tc>
        <w:tc>
          <w:p w14:paraId="001001AC" w14:textId="001001AD">
            <w:r>
              <w:t xml:space="preserve">605</w:t>
            </w:r>
          </w:p>
        </w:tc>
        <w:tc>
          <w:p w14:paraId="001001AE" w14:textId="001001AF">
            <w:r>
              <w:t xml:space="preserve">~35%+</w:t>
            </w:r>
          </w:p>
        </w:tc>
        <w:tc>
          <w:p w14:paraId="001001B0" w14:textId="001001B1">
            <w:r>
              <w:t xml:space="preserve">0.60+</w:t>
            </w:r>
          </w:p>
        </w:tc>
      </w:tr>
      <w:tr>
        <w:trPr/>
        <w:tc>
          <w:p w14:paraId="001001B2" w14:textId="001001B3">
            <w:r>
              <w:t xml:space="preserve">Government FP Card</w:t>
            </w:r>
          </w:p>
        </w:tc>
        <w:tc>
          <w:p w14:paraId="001001B4" w14:textId="001001B5">
            <w:r>
              <w:t xml:space="preserve">222</w:t>
            </w:r>
          </w:p>
        </w:tc>
        <w:tc>
          <w:p w14:paraId="001001B6" w14:textId="001001B7">
            <w:r>
              <w:t xml:space="preserve">~25%+</w:t>
            </w:r>
          </w:p>
        </w:tc>
        <w:tc>
          <w:p w14:paraId="001001B8" w14:textId="001001B9">
            <w:r>
              <w:t xml:space="preserve">0.40+</w:t>
            </w:r>
          </w:p>
        </w:tc>
      </w:tr>
      <w:tr>
        <w:trPr/>
        <w:tc>
          <w:p w14:paraId="001001BA" w14:textId="001001BB">
            <w:r>
              <w:t xml:space="preserve">Repatriation Card</w:t>
            </w:r>
          </w:p>
        </w:tc>
        <w:tc>
          <w:p w14:paraId="001001BC" w14:textId="001001BD">
            <w:r>
              <w:t xml:space="preserve">1,091</w:t>
            </w:r>
          </w:p>
        </w:tc>
        <w:tc>
          <w:p w14:paraId="001001BE" w14:textId="001001BF">
            <w:r>
              <w:t xml:space="preserve">~27%+</w:t>
            </w:r>
          </w:p>
        </w:tc>
        <w:tc>
          <w:p w14:paraId="001001C0" w14:textId="001001C1">
            <w:r>
              <w:t xml:space="preserve">0.43+</w:t>
            </w:r>
          </w:p>
        </w:tc>
      </w:tr>
      <w:tr>
        <w:trPr/>
        <w:tc>
          <w:p w14:paraId="001001C2" w14:textId="001001C3">
            <w:r>
              <w:t xml:space="preserve">Uninsured</w:t>
            </w:r>
          </w:p>
        </w:tc>
        <w:tc>
          <w:p w14:paraId="001001C4" w14:textId="001001C5">
            <w:r>
              <w:t xml:space="preserve">1,779</w:t>
            </w:r>
          </w:p>
        </w:tc>
        <w:tc>
          <w:p w14:paraId="001001C6" w14:textId="001001C7">
            <w:r>
              <w:t xml:space="preserve">~16%</w:t>
            </w:r>
          </w:p>
        </w:tc>
        <w:tc>
          <w:p w14:paraId="001001C8" w14:textId="001001C9">
            <w:r>
              <w:t xml:space="preserve">0.24</w:t>
            </w:r>
          </w:p>
        </w:tc>
      </w:tr>
      <w:tr>
        <w:trPr/>
        <w:tc>
          <w:p w14:paraId="001001CA" w14:textId="001001CB">
            <w:r>
              <w:t xml:space="preserve">High Utilisers (≥3 visits)</w:t>
            </w:r>
          </w:p>
        </w:tc>
        <w:tc>
          <w:p w14:paraId="001001CC" w14:textId="001001CD">
            <w:r>
              <w:t xml:space="preserve">93</w:t>
            </w:r>
          </w:p>
        </w:tc>
        <w:tc>
          <w:p w14:paraId="001001CE" w14:textId="001001CF">
            <w:r>
              <w:t xml:space="preserve">100%</w:t>
            </w:r>
          </w:p>
        </w:tc>
        <w:tc>
          <w:p w14:paraId="001001D0" w14:textId="001001D1">
            <w:r>
              <w:t xml:space="preserve">4.40+</w:t>
            </w:r>
          </w:p>
        </w:tc>
      </w:tr>
    </w:tbl>
    <w:p w14:paraId="001001D2" w14:textId="001001D3">
      <w:pPr>
        <w:pStyle w:val="Heading1"/>
        <w:spacing w:before="360" w:after="160"/>
      </w:pPr>
      <w:r>
        <w:rPr>
          <w:b/>
          <w:sz w:val="32"/>
        </w:rPr>
        <w:t xml:space="preserve">9. Phase 7 — Actionable Recommendations</w:t>
      </w:r>
    </w:p>
    <w:p w14:paraId="001001D4" w14:textId="001001D5">
      <w:pPr>
        <w:pStyle w:val="Normal"/>
        <w:spacing w:after="160"/>
      </w:pPr>
      <w:r>
        <w:rPr>
          <w:sz w:val="22"/>
        </w:rPr>
        <w:t xml:space="preserve">The following six recommendations are directly derived from the analytical findings. Each recommendation is evidence-based, actionable, and targets a specific patient population or policy domain.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D6" w14:textId="001001D7">
            <w:r>
              <w:t xml:space="preserve">ID</w:t>
            </w:r>
          </w:p>
        </w:tc>
        <w:tc>
          <w:p w14:paraId="001001D8" w14:textId="001001D9">
            <w:r>
              <w:t xml:space="preserve">Recommendation</w:t>
            </w:r>
          </w:p>
        </w:tc>
        <w:tc>
          <w:p w14:paraId="001001DA" w14:textId="001001DB">
            <w:r>
              <w:t xml:space="preserve">Evidence Base</w:t>
            </w:r>
          </w:p>
        </w:tc>
        <w:tc>
          <w:p w14:paraId="001001DC" w14:textId="001001DD">
            <w:r>
              <w:t xml:space="preserve">Target Audience</w:t>
            </w:r>
          </w:p>
        </w:tc>
      </w:tr>
      <w:tr>
        <w:trPr/>
        <w:tc>
          <w:p w14:paraId="001001DE" w14:textId="001001DF">
            <w:r>
              <w:t xml:space="preserve">R1</w:t>
            </w:r>
          </w:p>
        </w:tc>
        <w:tc>
          <w:p w14:paraId="001001E0" w14:textId="001001E1">
            <w:r>
              <w:t xml:space="preserve">Address Zero-Visit Access Barriers — Outreach to uninsured and low-income patients with illness burden but zero visits</w:t>
            </w:r>
          </w:p>
        </w:tc>
        <w:tc>
          <w:p w14:paraId="001001E2" w14:textId="001001E3">
            <w:r>
              <w:t xml:space="preserve">79.8% zero-visit rate; non-visitors still report illness</w:t>
            </w:r>
          </w:p>
        </w:tc>
        <w:tc>
          <w:p w14:paraId="001001E4" w14:textId="001001E5">
            <w:r>
              <w:t xml:space="preserve">Health system planners, GPs</w:t>
            </w:r>
          </w:p>
        </w:tc>
      </w:tr>
      <w:tr>
        <w:trPr/>
        <w:tc>
          <w:p w14:paraId="001001E6" w14:textId="001001E7">
            <w:r>
              <w:t xml:space="preserve">R2</w:t>
            </w:r>
          </w:p>
        </w:tc>
        <w:tc>
          <w:p w14:paraId="001001E8" w14:textId="001001E9">
            <w:r>
              <w:t xml:space="preserve">Implement Structured Chronic Disease Management — Enrol limiting-chronic patients in structured care plans to reduce reactive visits</w:t>
            </w:r>
          </w:p>
        </w:tc>
        <w:tc>
          <w:p w14:paraId="001001EA" w14:textId="001001EB">
            <w:r>
              <w:t xml:space="preserve">Limiting chronic patients visit 2–3× more frequently</w:t>
            </w:r>
          </w:p>
        </w:tc>
        <w:tc>
          <w:p w14:paraId="001001EC" w14:textId="001001ED">
            <w:r>
              <w:t xml:space="preserve">Clinical directors, practice managers</w:t>
            </w:r>
          </w:p>
        </w:tc>
      </w:tr>
      <w:tr>
        <w:trPr/>
        <w:tc>
          <w:p w14:paraId="001001EE" w14:textId="001001EF">
            <w:r>
              <w:t xml:space="preserve">R3</w:t>
            </w:r>
          </w:p>
        </w:tc>
        <w:tc>
          <w:p w14:paraId="001001F0" w14:textId="001001F1">
            <w:r>
              <w:t xml:space="preserve">Equity-Focused Male Health Engagement — Review GP service formats and barriers preventing male health-seeking behaviour</w:t>
            </w:r>
          </w:p>
        </w:tc>
        <w:tc>
          <w:p w14:paraId="001001F2" w14:textId="001001F3">
            <w:r>
              <w:t xml:space="preserve">Males visit 5.5pp less than females (Mann-Whitney p&lt;0.05)</w:t>
            </w:r>
          </w:p>
        </w:tc>
        <w:tc>
          <w:p w14:paraId="001001F4" w14:textId="001001F5">
            <w:r>
              <w:t xml:space="preserve">Policy makers, GP practices</w:t>
            </w:r>
          </w:p>
        </w:tc>
      </w:tr>
      <w:tr>
        <w:trPr/>
        <w:tc>
          <w:p w14:paraId="001001F6" w14:textId="001001F7">
            <w:r>
              <w:t xml:space="preserve">R4</w:t>
            </w:r>
          </w:p>
        </w:tc>
        <w:tc>
          <w:p w14:paraId="001001F8" w14:textId="001001F9">
            <w:r>
              <w:t xml:space="preserve">High-Utiliser Case Management — Assign dedicated care coordinators to patients with 3+ visits</w:t>
            </w:r>
          </w:p>
        </w:tc>
        <w:tc>
          <w:p w14:paraId="001001FA" w14:textId="001001FB">
            <w:r>
              <w:t xml:space="preserve">93 patients (1.8%) account for ~20% of all visits</w:t>
            </w:r>
          </w:p>
        </w:tc>
        <w:tc>
          <w:p w14:paraId="001001FC" w14:textId="001001FD">
            <w:r>
              <w:t xml:space="preserve">Hospital administrators, health insurers</w:t>
            </w:r>
          </w:p>
        </w:tc>
      </w:tr>
      <w:tr>
        <w:trPr/>
        <w:tc>
          <w:p w14:paraId="001001FE" w14:textId="001001FF">
            <w:r>
              <w:t xml:space="preserve">R5</w:t>
            </w:r>
          </w:p>
        </w:tc>
        <w:tc>
          <w:p w14:paraId="00100200" w14:textId="00100201">
            <w:r>
              <w:t xml:space="preserve">Income-Stratified Access Programmes — Expand bulk billing and subsidised GP access for Q1 income patients</w:t>
            </w:r>
          </w:p>
        </w:tc>
        <w:tc>
          <w:p w14:paraId="00100202" w14:textId="00100203">
            <w:r>
              <w:t xml:space="preserve">Lower income quartiles show reduced visit rates despite illness burden</w:t>
            </w:r>
          </w:p>
        </w:tc>
        <w:tc>
          <w:p w14:paraId="00100204" w14:textId="00100205">
            <w:r>
              <w:t xml:space="preserve">Health ministers, primary care commissioners</w:t>
            </w:r>
          </w:p>
        </w:tc>
      </w:tr>
      <w:tr>
        <w:trPr/>
        <w:tc>
          <w:p w14:paraId="00100206" w14:textId="00100207">
            <w:r>
              <w:t xml:space="preserve">R6</w:t>
            </w:r>
          </w:p>
        </w:tc>
        <w:tc>
          <w:p w14:paraId="00100208" w14:textId="00100209">
            <w:r>
              <w:t xml:space="preserve">Deploy a Predictive Risk Score — Build a lightweight score using illness + reduced + chronic burden to proactively flag high-need patients</w:t>
            </w:r>
          </w:p>
        </w:tc>
        <w:tc>
          <w:p w14:paraId="0010020A" w14:textId="0010020B">
            <w:r>
              <w:t xml:space="preserve">Top 3 Spearman predictors have combined ρ &gt; 0.3 (ensemble)</w:t>
            </w:r>
          </w:p>
        </w:tc>
        <w:tc>
          <w:p w14:paraId="0010020C" w14:textId="0010020D">
            <w:r>
              <w:t xml:space="preserve">Data teams, GP clinics, health apps</w:t>
            </w:r>
          </w:p>
        </w:tc>
      </w:tr>
      <w:tr>
        <w:trPr/>
        <w:tc>
          <w:p w14:paraId="0010020E" w14:textId="0010020F">
            <w:r>
              <w:t xml:space="preserve">R7</w:t>
            </w:r>
          </w:p>
        </w:tc>
        <w:tc>
          <w:p w14:paraId="00100210" w14:textId="00100211">
            <w:r>
              <w:t xml:space="preserve">Elderly Care Prioritisation — Increase GP capacity and proactive outreach for the 60+ age band</w:t>
            </w:r>
          </w:p>
        </w:tc>
        <w:tc>
          <w:p w14:paraId="00100212" w14:textId="00100213">
            <w:r>
              <w:t xml:space="preserve">60+ band has highest visit rate and chronic burden</w:t>
            </w:r>
          </w:p>
        </w:tc>
        <w:tc>
          <w:p w14:paraId="00100214" w14:textId="00100215">
            <w:r>
              <w:t xml:space="preserve">Aged care policy, GP networks</w:t>
            </w:r>
          </w:p>
        </w:tc>
      </w:tr>
    </w:tbl>
    <w:p w14:paraId="00100216" w14:textId="00100217">
      <w:pPr>
        <w:pStyle w:val="Heading1"/>
        <w:spacing w:before="360" w:after="160"/>
      </w:pPr>
      <w:r>
        <w:rPr>
          <w:b/>
          <w:sz w:val="32"/>
        </w:rPr>
        <w:t xml:space="preserve">10. Conclusion</w:t>
      </w:r>
    </w:p>
    <w:p w14:paraId="00100218" w14:textId="00100219">
      <w:pPr>
        <w:pStyle w:val="Normal"/>
        <w:spacing w:after="160"/>
      </w:pPr>
      <w:r>
        <w:rPr>
          <w:sz w:val="22"/>
        </w:rPr>
        <w:t xml:space="preserve">This project delivered a complete, eight-phase healthcare analytics study on the Doctor Visits dataset covering 5,190 patients and 13 variables. The analysis confirmed that GP visit frequency is primarily driven by acute illness burden (illness count, reduced activity days) and chronic disease status, with secondary effects from gender, age, and insurance coverage.</w:t>
      </w:r>
    </w:p>
    <w:p w14:paraId="0010021A" w14:textId="0010021B">
      <w:pPr>
        <w:pStyle w:val="Normal"/>
        <w:spacing w:after="160"/>
      </w:pPr>
      <w:r>
        <w:rPr>
          <w:sz w:val="22"/>
        </w:rPr>
        <w:t xml:space="preserve">The most important public health finding is the severe zero-inflation: nearly 80% of the population did not visit a GP in the observation window, yet many report illness. This represents a significant unmet healthcare need, and targeted policy interventions — especially for uninsured, low-income, and male populations — can address these access gaps.</w:t>
      </w:r>
    </w:p>
    <w:p w14:paraId="0010021C" w14:textId="0010021D">
      <w:pPr>
        <w:pStyle w:val="Normal"/>
        <w:spacing w:after="160"/>
      </w:pPr>
      <w:r>
        <w:rPr>
          <w:sz w:val="22"/>
        </w:rPr>
        <w:t xml:space="preserve">All analysis was performed in Python using Pandas, NumPy, Matplotlib, Seaborn, and SciPy. The project is fully reproducible — all code, data, and outputs are available in the accompanying Jupyter notebook (KVPavanKumar_HealthcareAnalytics.ipynb) and the cleaned dataset (healthcare_cleaned.csv). Figures are saved in the figures/ directory.</w:t>
      </w:r>
    </w:p>
    <w:p w14:paraId="0010021E" w14:textId="0010021F">
      <w:pPr>
        <w:pStyle w:val="Heading2"/>
        <w:spacing w:before="200" w:after="120"/>
      </w:pPr>
      <w:r>
        <w:rPr>
          <w:b/>
          <w:sz w:val="26"/>
        </w:rPr>
        <w:t xml:space="preserve">Future Work</w:t>
      </w:r>
    </w:p>
    <w:p w14:paraId="00100220" w14:textId="00100221">
      <w:pPr>
        <w:pStyle w:val="Normal"/>
        <w:numPr>
          <w:ilvl w:val="0"/>
          <w:numId w:val="6"/>
        </w:numPr>
        <w:spacing w:after="80"/>
      </w:pPr>
      <w:r>
        <w:rPr>
          <w:sz w:val="22"/>
        </w:rPr>
        <w:t xml:space="preserve">Zero-Inflated Poisson (ZIP) or Negative Binomial regression to model count outcome formally</w:t>
      </w:r>
    </w:p>
    <w:p w14:paraId="00100222" w14:textId="00100223">
      <w:pPr>
        <w:pStyle w:val="Normal"/>
        <w:numPr>
          <w:ilvl w:val="0"/>
          <w:numId w:val="6"/>
        </w:numPr>
        <w:spacing w:after="80"/>
      </w:pPr>
      <w:r>
        <w:rPr>
          <w:sz w:val="22"/>
        </w:rPr>
        <w:t xml:space="preserve">Logistic regression for the binary visited outcome to quantify odds ratios</w:t>
      </w:r>
    </w:p>
    <w:p w14:paraId="00100224" w14:textId="00100225">
      <w:pPr>
        <w:pStyle w:val="Normal"/>
        <w:numPr>
          <w:ilvl w:val="0"/>
          <w:numId w:val="6"/>
        </w:numPr>
        <w:spacing w:after="80"/>
      </w:pPr>
      <w:r>
        <w:rPr>
          <w:sz w:val="22"/>
        </w:rPr>
        <w:t xml:space="preserve">Machine learning (Random Forest, XGBoost) for predictive risk scoring</w:t>
      </w:r>
    </w:p>
    <w:p w14:paraId="00100226" w14:textId="00100227">
      <w:pPr>
        <w:pStyle w:val="Normal"/>
        <w:numPr>
          <w:ilvl w:val="0"/>
          <w:numId w:val="6"/>
        </w:numPr>
        <w:spacing w:after="240"/>
      </w:pPr>
      <w:r>
        <w:rPr>
          <w:sz w:val="22"/>
        </w:rPr>
        <w:t xml:space="preserve">Longitudinal analysis if repeated-measures data becomes available</w:t>
      </w:r>
    </w:p>
    <w:p w14:paraId="00100228" w14:textId="00100229">
      <w:pPr>
        <w:pStyle w:val="Heading1"/>
        <w:spacing w:before="360" w:after="160"/>
      </w:pPr>
      <w:r>
        <w:rPr>
          <w:b/>
          <w:sz w:val="32"/>
        </w:rPr>
        <w:t xml:space="preserve">References</w:t>
      </w:r>
    </w:p>
    <w:p w14:paraId="0010022A" w14:textId="0010022B">
      <w:pPr>
        <w:pStyle w:val="Normal"/>
        <w:spacing w:after="120"/>
      </w:pPr>
      <w:r>
        <w:rPr>
          <w:sz w:val="22"/>
        </w:rPr>
        <w:t xml:space="preserve">Cameron, A.C. &amp; Trivedi, P.K. (1986). Econometric models based on count data: comparisons and applications of some estimators and tests. Journal of Applied Econometrics, 1(1), 29–53.</w:t>
      </w:r>
    </w:p>
    <w:p w14:paraId="0010022C" w14:textId="0010022D">
      <w:pPr>
        <w:pStyle w:val="Normal"/>
        <w:spacing w:after="120"/>
      </w:pPr>
      <w:r>
        <w:rPr>
          <w:sz w:val="22"/>
        </w:rPr>
        <w:t xml:space="preserve">McKinney, W. (2017). Python for Data Analysis (2nd ed.). O'Reilly Media.</w:t>
      </w:r>
    </w:p>
    <w:p w14:paraId="0010022E" w14:textId="0010022F">
      <w:pPr>
        <w:pStyle w:val="Normal"/>
        <w:spacing w:after="120"/>
      </w:pPr>
      <w:r>
        <w:rPr>
          <w:sz w:val="22"/>
        </w:rPr>
        <w:t xml:space="preserve">Virtanen, P. et al. (2020). SciPy 1.0: fundamental algorithms for scientific computing in Python. Nature Methods, 17, 261–272.</w:t>
      </w:r>
    </w:p>
    <w:p w14:paraId="00100230" w14:textId="00100231">
      <w:pPr>
        <w:pStyle w:val="Normal"/>
        <w:spacing w:after="120"/>
      </w:pPr>
      <w:r>
        <w:rPr>
          <w:sz w:val="22"/>
        </w:rPr>
        <w:t xml:space="preserve">Hunter, J.D. (2007). Matplotlib: A 2D graphics environment. Computing in Science &amp; Engineering, 9(3), 90–95.</w:t>
      </w:r>
    </w:p>
    <w:p w14:paraId="00100232" w14:textId="00100233">
      <w:pPr>
        <w:pStyle w:val="Normal"/>
        <w:spacing w:before="480" w:after="120"/>
        <w:jc w:val="center"/>
      </w:pPr>
      <w:r>
        <w:rPr>
          <w:color w:val="57606A"/>
          <w:sz w:val="22"/>
        </w:rPr>
        <w:t xml:space="preserve">— End of Report —</w:t>
      </w:r>
    </w:p>
    <w:p w14:paraId="00100234" w14:textId="00100235">
      <w:pPr>
        <w:pStyle w:val="Normal"/>
        <w:spacing w:after="120"/>
        <w:jc w:val="center"/>
      </w:pPr>
      <w:r>
        <w:rPr>
          <w:color w:val="57606A"/>
          <w:sz w:val="20"/>
        </w:rPr>
        <w:t xml:space="preserve">KV Pavan Kumar  |  Healthcare Analytics Project  |  Python · Pandas · SciPy · Seaborn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b10c6c32ac4941d7" /><Relationship Type="http://schemas.openxmlformats.org/officeDocument/2006/relationships/styles" Target="/word/styles.xml" Id="R680d90a4e6b24ac6" /><Relationship Type="http://schemas.openxmlformats.org/officeDocument/2006/relationships/theme" Target="/word/theme/theme1.xml" Id="Rcba1bfcbacf741d0" /><Relationship Type="http://schemas.openxmlformats.org/officeDocument/2006/relationships/numbering" Target="/word/numbering.xml" Id="Rcb22c412ee494d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2026-09-22T07:35:41Z</dcterms:created>
  <cp:lastModifiedBy>OfficeCLI</cp:lastModifiedBy>
  <dcterms:modified xsi:type="dcterms:W3CDTF">2026-09-22T07:35:41Z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2026-09-22T07:41:30Z</vt:lpwstr>
  </op:property>
</op:Properties>
</file>