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Dream RAG: Offline Consolidation of a Retrieval Knowledge Graph, and When It Helps</w:t>
      </w:r>
    </w:p>
    <w:p>
      <w:pPr>
        <w:pStyle w:val="Authors"/>
      </w:pPr>
      <w:r>
        <w:t xml:space="preserve">Anonymous author(s)</w:t>
      </w:r>
    </w:p>
    <w:p>
      <w:pPr>
        <w:pStyle w:val="Institute"/>
      </w:pPr>
      <w:r>
        <w:t xml:space="preserve">Anonymous institution(s)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Most retrieval-augmented generation (RAG) systems build their knowledge graph once, at ingestion. Dream</w:t>
      </w:r>
      <w:r>
        <w:t xml:space="preserve"> </w:t>
      </w:r>
      <w:r>
        <w:t xml:space="preserve">RAG adds an offline</w:t>
      </w:r>
      <w:r>
        <w:t xml:space="preserve"> </w:t>
      </w:r>
      <w:r>
        <w:t xml:space="preserve">“dream”</w:t>
      </w:r>
      <w:r>
        <w:t xml:space="preserve"> </w:t>
      </w:r>
      <w:r>
        <w:t xml:space="preserve">loop that rewrites the graph toward</w:t>
      </w:r>
      <w:r>
        <w:t xml:space="preserve"> </w:t>
      </w:r>
      <w:r>
        <w:rPr>
          <w:i/>
          <w:iCs/>
        </w:rPr>
        <w:t xml:space="preserve">fact density</w:t>
      </w:r>
      <w:r>
        <w:t xml:space="preserve"> </w:t>
      </w:r>
      <w:r>
        <w:t xml:space="preserve">(fewer, more complete</w:t>
      </w:r>
      <w:r>
        <w:t xml:space="preserve"> </w:t>
      </w:r>
      <w:r>
        <w:t xml:space="preserve">entities): it completes weak entities from their own evidence with an 8B model, merges duplicates and</w:t>
      </w:r>
      <w:r>
        <w:t xml:space="preserve"> </w:t>
      </w:r>
      <w:r>
        <w:t xml:space="preserve">prunes unsupported nodes. On twelve corpora of 773–15,018 passages, three to five cycles cut the entity count by</w:t>
      </w:r>
      <w:r>
        <w:t xml:space="preserve"> </w:t>
      </w:r>
      <w:r>
        <w:t xml:space="preserve">7–26% and raised mean completeness on eleven. Retrieval accuracy did not follow. On a 1,152-passage</w:t>
      </w:r>
      <w:r>
        <w:t xml:space="preserve"> </w:t>
      </w:r>
      <w:r>
        <w:t xml:space="preserve">memoir, completeness rose from 51.5% to 78.1% over 31 cycles while answer recall stayed within noise</w:t>
      </w:r>
      <w:r>
        <w:t xml:space="preserve"> </w:t>
      </w:r>
      <w:r>
        <w:t xml:space="preserve">(Spearman ρ = 0.17); across fifteen corpora completeness did not predict recall (ρ = 0.28); and two</w:t>
      </w:r>
      <w:r>
        <w:t xml:space="preserve"> </w:t>
      </w:r>
      <w:r>
        <w:t xml:space="preserve">consolidation operations reduced accuracy. Across 88 development milestones, accuracy gains came from</w:t>
      </w:r>
      <w:r>
        <w:t xml:space="preserve"> </w:t>
      </w:r>
      <w:r>
        <w:t xml:space="preserve">retrieval and curated knowledge, not from dreaming. Structural graph metrics are not a proxy for RAG</w:t>
      </w:r>
      <w:r>
        <w:t xml:space="preserve"> </w:t>
      </w:r>
      <w:r>
        <w:t xml:space="preserve">quality.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retrieval-augmented generation, GraphRAG, knowledge-graph consolidation, evaluation,</w:t>
      </w:r>
      <w:r>
        <w:t xml:space="preserve"> </w:t>
      </w:r>
      <w:r>
        <w:t xml:space="preserve">negative results</w:t>
      </w:r>
    </w:p>
    <w:bookmarkStart w:id="29" w:name="introduction"/>
    <w:p>
      <w:pPr>
        <w:pStyle w:val="Section"/>
      </w:pPr>
      <w:r>
        <w:t xml:space="preserve">Introduction</w:t>
      </w:r>
    </w:p>
    <w:p>
      <w:pPr/>
      <w:r>
        <w:t xml:space="preserve">Graph-based RAG systems add an entity graph to a passage index so that retrieval can follow</w:t>
      </w:r>
      <w:r>
        <w:t xml:space="preserve"> </w:t>
      </w:r>
      <w:r>
        <w:t xml:space="preserve">relationships [Edge et al. 2024; Gutiérrez et al. 2024; Guo et al. 2024]. They build the graph at</w:t>
      </w:r>
      <w:r>
        <w:t xml:space="preserve"> </w:t>
      </w:r>
      <w:r>
        <w:t xml:space="preserve">ingestion; what extraction gets wrong (a missing type, a duplicate) stays wrong. Biological memory, by contrast, is consolidated offline [McClelland et al.</w:t>
      </w:r>
      <w:r>
        <w:t xml:space="preserve"> </w:t>
      </w:r>
      <w:r>
        <w:t xml:space="preserve">1995], and the free-energy principle [Friston 2010] frames the trade-off such a process manages:</w:t>
      </w:r>
      <w:r>
        <w:t xml:space="preserve"> </w:t>
      </w:r>
      <w:r>
        <w:t xml:space="preserve">explain the evidence with as little model complexity as possible. We use these ideas as design</w:t>
      </w:r>
      <w:r>
        <w:t xml:space="preserve"> </w:t>
      </w:r>
      <w:r>
        <w:t xml:space="preserve">heuristics, not formal models, and derive one measurable objective,</w:t>
      </w:r>
      <w:r>
        <w:t xml:space="preserve"> </w:t>
      </w:r>
      <w:r>
        <w:rPr>
          <w:b/>
          <w:bCs/>
        </w:rPr>
        <w:t xml:space="preserve">fact density</w:t>
      </w:r>
      <w:r>
        <w:t xml:space="preserve">: the same evidence</w:t>
      </w:r>
      <w:r>
        <w:t xml:space="preserve"> </w:t>
      </w:r>
      <w:r>
        <w:t xml:space="preserve">represented by fewer, more complete entities.</w:t>
      </w:r>
    </w:p>
    <w:p>
      <w:pPr/>
      <w:r>
        <w:t xml:space="preserve">We ask whether an offline loop that optimizes fact density improves RAG. Our contributions are (a) an</w:t>
      </w:r>
      <w:r>
        <w:t xml:space="preserve"> </w:t>
      </w:r>
      <w:r>
        <w:t xml:space="preserve">implemented consolidation loop that converges to zero model calls per cycle, (b) a multi-corpus study</w:t>
      </w:r>
      <w:r>
        <w:t xml:space="preserve"> </w:t>
      </w:r>
      <w:r>
        <w:t xml:space="preserve">showing that it improves graph structure but not retrieval accuracy, measured against an explicit noise</w:t>
      </w:r>
      <w:r>
        <w:t xml:space="preserve"> </w:t>
      </w:r>
      <w:r>
        <w:t xml:space="preserve">floor, and (c) two documented ways in which consolidation reduces accuracy.</w:t>
      </w:r>
    </w:p>
    <w:bookmarkEnd w:id="29"/>
    <w:bookmarkStart w:id="30" w:name="system"/>
    <w:p>
      <w:pPr>
        <w:pStyle w:val="Section"/>
      </w:pPr>
      <w:r>
        <w:t xml:space="preserve">System</w:t>
      </w:r>
    </w:p>
    <w:p>
      <w:pPr/>
      <w:r>
        <w:rPr>
          <w:b/>
          <w:bCs/>
        </w:rPr>
        <w:t xml:space="preserve">Ingestion.</w:t>
      </w:r>
      <w:r>
        <w:t xml:space="preserve"> </w:t>
      </w:r>
      <w:r>
        <w:t xml:space="preserve">Documents are split into paragraph-based passages of at most 800 characters (200</w:t>
      </w:r>
      <w:r>
        <w:t xml:space="preserve"> </w:t>
      </w:r>
      <w:r>
        <w:t xml:space="preserve">overlap), embedded (768-dimensional) and indexed for BM25. A capitalized-phrase scan proposes entity</w:t>
      </w:r>
      <w:r>
        <w:t xml:space="preserve"> </w:t>
      </w:r>
      <w:r>
        <w:t xml:space="preserve">candidates; passages without candidates skip the language model, and otherwise llama3.1:8b extracts at</w:t>
      </w:r>
      <w:r>
        <w:t xml:space="preserve"> </w:t>
      </w:r>
      <w:r>
        <w:t xml:space="preserve">most 20 typed entities per passage, with the adjacent passages as context. Relation extraction was</w:t>
      </w:r>
      <w:r>
        <w:t xml:space="preserve"> </w:t>
      </w:r>
      <w:r>
        <w:t xml:space="preserve">disabled for the multi-corpus graphs, because an 8B model extracted relations too imprecisely in earlier</w:t>
      </w:r>
      <w:r>
        <w:t xml:space="preserve"> </w:t>
      </w:r>
      <w:r>
        <w:t xml:space="preserve">experiments.</w:t>
      </w:r>
    </w:p>
    <w:p>
      <w:pPr/>
      <w:r>
        <w:rPr>
          <w:b/>
          <w:bCs/>
        </w:rPr>
        <w:t xml:space="preserve">Retrieval</w:t>
      </w:r>
      <w:r>
        <w:t xml:space="preserve"> </w:t>
      </w:r>
      <w:r>
        <w:t xml:space="preserve">fuses BM25 and dense rankings by reciprocal rank (k = 60) [Cormack et al. 2009] together</w:t>
      </w:r>
      <w:r>
        <w:t xml:space="preserve"> </w:t>
      </w:r>
      <w:r>
        <w:t xml:space="preserve">with passages of graph entities within two hops of those matching the query. If fewer than 70% of the</w:t>
      </w:r>
      <w:r>
        <w:t xml:space="preserve"> </w:t>
      </w:r>
      <w:r>
        <w:t xml:space="preserve">query’s content terms are covered, a second round retrieves for the missing terms, and below 75% a third</w:t>
      </w:r>
      <w:r>
        <w:t xml:space="preserve"> </w:t>
      </w:r>
      <w:r>
        <w:t xml:space="preserve">round reformulates the query. The top 20 passages, led by one entity</w:t>
      </w:r>
      <w:r>
        <w:t xml:space="preserve"> </w:t>
      </w:r>
      <w:r>
        <w:t xml:space="preserve">“fact card”</w:t>
      </w:r>
      <w:r>
        <w:t xml:space="preserve">, go to the generator.</w:t>
      </w:r>
    </w:p>
    <w:p>
      <w:pPr/>
      <w:r>
        <w:rPr>
          <w:b/>
          <w:bCs/>
        </w:rPr>
        <w:t xml:space="preserve">Completeness.</w:t>
      </w:r>
      <w:r>
        <w:t xml:space="preserve"> </w:t>
      </w:r>
      <w:r>
        <w:t xml:space="preserve">An entity’s score is the mean of three parts: its type (0 untyped, 0.4 generic, 1</w:t>
      </w:r>
      <w:r>
        <w:t xml:space="preserve"> </w:t>
      </w:r>
      <w:r>
        <w:t xml:space="preserve">specific); its content (the fraction of its type’s expected fields that are filled, or a length-and-</w:t>
      </w:r>
      <w:r>
        <w:t xml:space="preserve"> </w:t>
      </w:r>
      <w:r>
        <w:t xml:space="preserve">sentence tier on its description); and its relations (the fraction of its type’s expected relation</w:t>
      </w:r>
      <w:r>
        <w:t xml:space="preserve"> </w:t>
      </w:r>
      <w:r>
        <w:t xml:space="preserve">groups present). Graph completeness is the mean over entities.</w:t>
      </w:r>
    </w:p>
    <w:p>
      <w:pPr/>
      <w:r>
        <w:rPr>
          <w:b/>
          <w:bCs/>
        </w:rPr>
        <w:t xml:space="preserve">The dream loop.</w:t>
      </w:r>
      <w:r>
        <w:t xml:space="preserve"> </w:t>
      </w:r>
      <w:r>
        <w:t xml:space="preserve">Each cycle (i) scores all entities; (ii) selects those below 0.6, weakest first, up</w:t>
      </w:r>
      <w:r>
        <w:t xml:space="preserve"> </w:t>
      </w:r>
      <w:r>
        <w:t xml:space="preserve">to a budget (100–200); (iii) asks the model, given only the entity’s own evidence passages, for its</w:t>
      </w:r>
      <w:r>
        <w:t xml:space="preserve"> </w:t>
      </w:r>
      <w:r>
        <w:t xml:space="preserve">type-specific fields, a description and relations; (iv) accepts a description only if it ranks in a</w:t>
      </w:r>
      <w:r>
        <w:t xml:space="preserve"> </w:t>
      </w:r>
      <w:r>
        <w:t xml:space="preserve">higher tier than the current one, or the same tier and more than 20 characters longer, and keeps a</w:t>
      </w:r>
      <w:r>
        <w:t xml:space="preserve"> </w:t>
      </w:r>
      <w:r>
        <w:t xml:space="preserve">relation only if its target already exists; (v) merges duplicates (identical normalized names; or same</w:t>
      </w:r>
      <w:r>
        <w:t xml:space="preserve"> </w:t>
      </w:r>
      <w:r>
        <w:t xml:space="preserve">type, Jaro–Winkler ≥ 0.60 and embedding cosine ≥ 0.92; or names differing only by an honorific);</w:t>
      </w:r>
      <w:r>
        <w:t xml:space="preserve"> </w:t>
      </w:r>
      <w:r>
        <w:t xml:space="preserve">(vi) prunes entities with one mention, no passages, no relations and a score below 0.3. A cycle whose</w:t>
      </w:r>
      <w:r>
        <w:t xml:space="preserve"> </w:t>
      </w:r>
      <w:r>
        <w:t xml:space="preserve">model calls all failed stops before merging. With no candidates left, a cycle makes no model calls.</w:t>
      </w:r>
      <w:r>
        <w:t xml:space="preserve"> </w:t>
      </w:r>
      <w:r>
        <w:t xml:space="preserve">Generated descriptions are not fact-checked, and hand-curated descriptions are protected only by the</w:t>
      </w:r>
      <w:r>
        <w:t xml:space="preserve"> </w:t>
      </w:r>
      <w:r>
        <w:t xml:space="preserve">tier gate in (iv).</w:t>
      </w:r>
    </w:p>
    <w:bookmarkEnd w:id="30"/>
    <w:bookmarkStart w:id="31" w:name="evaluation-setup"/>
    <w:p>
      <w:pPr>
        <w:pStyle w:val="Section"/>
      </w:pPr>
      <w:r>
        <w:t xml:space="preserve">Evaluation setup</w:t>
      </w:r>
    </w:p>
    <w:p>
      <w:pPr/>
      <w:r>
        <w:rPr>
          <w:b/>
          <w:bCs/>
        </w:rPr>
        <w:t xml:space="preserve">Corpora.</w:t>
      </w:r>
      <w:r>
        <w:t xml:space="preserve"> </w:t>
      </w:r>
      <w:r>
        <w:t xml:space="preserve">Eleven corpora span historical narrative, legal opinions, meeting transcripts, technical</w:t>
      </w:r>
      <w:r>
        <w:t xml:space="preserve"> </w:t>
      </w:r>
      <w:r>
        <w:t xml:space="preserve">documentation and standards, scientific and academic papers, and fiction (773–15,018 passages); a</w:t>
      </w:r>
      <w:r>
        <w:t xml:space="preserve"> </w:t>
      </w:r>
      <w:r>
        <w:t xml:space="preserve">twelfth (a novel) is used for the consolidation study, and a 1,152-passage single-author memoir for</w:t>
      </w:r>
      <w:r>
        <w:t xml:space="preserve"> </w:t>
      </w:r>
      <w:r>
        <w:t xml:space="preserve">cycle-by-cycle and component studies. All are English. ⟦question-set construction⟧</w:t>
      </w:r>
    </w:p>
    <w:p>
      <w:pPr/>
      <w:r>
        <w:rPr>
          <w:b/>
          <w:bCs/>
        </w:rPr>
        <w:t xml:space="preserve">Protocol.</w:t>
      </w:r>
      <w:r>
        <w:t xml:space="preserve"> </w:t>
      </w:r>
      <w:r>
        <w:t xml:space="preserve">Each corpus has 20 questions with gold answers and keywords (58–116 per set). We report</w:t>
      </w:r>
      <w:r>
        <w:t xml:space="preserve"> </w:t>
      </w:r>
      <w:r>
        <w:t xml:space="preserve">answer recall (the fraction of gold keywords in the generated answer), retrieval recall (in the</w:t>
      </w:r>
      <w:r>
        <w:t xml:space="preserve"> </w:t>
      </w:r>
      <w:r>
        <w:t xml:space="preserve">retrieved passages) and an LLM judge score (0–2; the judge is the generator’s model).</w:t>
      </w:r>
    </w:p>
    <w:p>
      <w:pPr/>
      <w:r>
        <w:rPr>
          <w:b/>
          <w:bCs/>
        </w:rPr>
        <w:t xml:space="preserve">Noise floor.</w:t>
      </w:r>
      <w:r>
        <w:t xml:space="preserve"> </w:t>
      </w:r>
      <w:r>
        <w:t xml:space="preserve">Two evaluations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memoir graph scored 70.2% and 77.8%; ten runs of one</w:t>
      </w:r>
      <w:r>
        <w:t xml:space="preserve"> </w:t>
      </w:r>
      <w:r>
        <w:t xml:space="preserve">configuration had SD 1.6 points. We treat single-run differences below about 5 points as inconclusive.</w:t>
      </w:r>
    </w:p>
    <w:bookmarkEnd w:id="31"/>
    <w:bookmarkStart w:id="38" w:name="results"/>
    <w:p>
      <w:pPr>
        <w:pStyle w:val="Section"/>
      </w:pPr>
      <w:r>
        <w:t xml:space="preserve">Results</w:t>
      </w:r>
    </w:p>
    <w:p>
      <w:pPr/>
      <w:r>
        <w:rPr>
          <w:b/>
          <w:bCs/>
        </w:rPr>
        <w:t xml:space="preserve">Across corpora</w:t>
      </w:r>
      <w:r>
        <w:t xml:space="preserve">, retrieval recall ranged from 77.6% (meeting transcripts) to 94.3% (mean 88.9%),</w:t>
      </w:r>
      <w:r>
        <w:t xml:space="preserve"> </w:t>
      </w:r>
      <w:r>
        <w:t xml:space="preserve">answer recall from 68.5% to 86.1% (mean 76.5%), and judge scores from 1.20 to 1.85 of 2.</w:t>
      </w:r>
    </w:p>
    <w:p>
      <w:pPr/>
      <w:r>
        <w:rPr>
          <w:b/>
          <w:bCs/>
        </w:rPr>
        <w:t xml:space="preserve">Fact density rises.</w:t>
      </w:r>
      <w:r>
        <w:t xml:space="preserve"> </w:t>
      </w:r>
      <w:r>
        <w:t xml:space="preserve">Over five cycles on twelve corpora (three on one, whose fourth cycle hit a</w:t>
      </w:r>
      <w:r>
        <w:t xml:space="preserve"> </w:t>
      </w:r>
      <w:r>
        <w:t xml:space="preserve">since-fixed defect), entity counts fell by 7.4–26.0% (median 14.8%) and mean completeness rose on</w:t>
      </w:r>
      <w:r>
        <w:t xml:space="preserve"> </w:t>
      </w:r>
      <w:r>
        <w:t xml:space="preserve">eleven. 92–100% of each reduction came from duplicate merging in the first cycle; later cycles added</w:t>
      </w:r>
      <w:r>
        <w:t xml:space="preserve"> </w:t>
      </w:r>
      <w:r>
        <w:t xml:space="preserve">0.1–0.5 completeness points each. Merging can raise completeness mechanically, since a merged entity</w:t>
      </w:r>
      <w:r>
        <w:t xml:space="preserve"> </w:t>
      </w:r>
      <w:r>
        <w:t xml:space="preserve">inherits both sources’ fields.</w:t>
      </w:r>
    </w:p>
    <w:p>
      <w:pPr/>
      <w:r>
        <w:rPr>
          <w:b/>
          <w:bCs/>
        </w:rPr>
        <w:t xml:space="preserve">Accuracy does not.</w:t>
      </w:r>
      <w:r>
        <w:t xml:space="preserve"> </w:t>
      </w:r>
      <w:r>
        <w:t xml:space="preserve">On the memoir, completeness rose from 51.5% to 78.1% and plateaued after about</w:t>
      </w:r>
      <w:r>
        <w:t xml:space="preserve"> </w:t>
      </w:r>
      <w:r>
        <w:t xml:space="preserve">two hours, while answer recall stayed at 54.1 ± 3.4% (Figure 1), uncorrelated with completeness</w:t>
      </w:r>
      <w:r>
        <w:t xml:space="preserve"> </w:t>
      </w:r>
      <w:r>
        <w:t xml:space="preserve">(Spearman ρ = 0.17, p = 0.62, n = 11). Across fifteen corpora, completeness did not predict answer</w:t>
      </w:r>
      <w:r>
        <w:t xml:space="preserve"> </w:t>
      </w:r>
      <w:r>
        <w:t xml:space="preserve">recall either (ρ = 0.28, p ≈ 0.3), nor did the number of relations (r = 0.08). At these sample sizes only a</w:t>
      </w:r>
      <w:r>
        <w:t xml:space="preserve"> </w:t>
      </w:r>
      <w:r>
        <w:t xml:space="preserve">strong relationship was detectable, but the data rule out that raising the structural score by itself</w:t>
      </w:r>
      <w:r>
        <w:t xml:space="preserve"> </w:t>
      </w:r>
      <w:r>
        <w:t xml:space="preserve">improves answers.</w:t>
      </w:r>
    </w:p>
    <w:p>
      <w:pPr>
        <w:ind w:firstLine="0"/>
        <w:jc w:val="center"/>
      </w:pPr>
      <w:r>
        <w:drawing>
          <wp:inline>
            <wp:extent cx="4584232" cy="1938894"/>
            <wp:effectExtent b="0" l="0" r="0" t="0"/>
            <wp:docPr descr="Figure 1. Memoir, 31 dream cycles: graph completeness (a) and answer keyword recall on the 11 evaluated cycles (b). Shaded: cycles with a 3B completion model. Cycle 12 is omitted (failed run)." title="" id="33" name="Picture"/>
            <a:graphic>
              <a:graphicData uri="http://schemas.openxmlformats.org/drawingml/2006/picture">
                <pic:pic>
                  <pic:nvPicPr>
                    <pic:cNvPr descr="figures/short1_memoir_cycl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32" cy="193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Memoir, 31 dream cycles: graph completeness (a) and answer keyword recall on the 11</w:t>
      </w:r>
      <w:r>
        <w:t xml:space="preserve"> </w:t>
      </w:r>
      <w:r>
        <w:t xml:space="preserve">evaluated cycles (b). Shaded: cycles with a 3B completion model. Cycle 12 is omitted (failed</w:t>
      </w:r>
      <w:r>
        <w:t xml:space="preserve"> </w:t>
      </w:r>
      <w:r>
        <w:t xml:space="preserve">run).</w:t>
      </w:r>
    </w:p>
    <w:p>
      <w:pPr/>
      <w:r>
        <w:rPr>
          <w:b/>
          <w:bCs/>
        </w:rPr>
        <w:t xml:space="preserve">Consolidation can hurt</w:t>
      </w:r>
      <w:r>
        <w:t xml:space="preserve"> </w:t>
      </w:r>
      <w:r>
        <w:t xml:space="preserve">(Table 1, last two rows). A maintenance prune of 361 unevidenced but connected entities</w:t>
      </w:r>
      <w:r>
        <w:t xml:space="preserve"> </w:t>
      </w:r>
      <w:r>
        <w:t xml:space="preserve">deleted 2,972 of 6,164 relations, and in one cycle generated summaries overwrote curated descriptions;</w:t>
      </w:r>
      <w:r>
        <w:t xml:space="preserve"> </w:t>
      </w:r>
      <w:r>
        <w:t xml:space="preserve">re-seeding restored recall to 178/225 keywords. Pruning now spares connected entities unless asked.</w:t>
      </w:r>
    </w:p>
    <w:p>
      <w:pPr>
        <w:pStyle w:val="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Controlled comparisons on the memoir (answer keyword recall;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runs per arm).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Layout w:type="fixed"/>
      </w:tblPr>
      <w:tblGrid>
        <w:gridCol w:w="3600"/>
        <w:gridCol w:w="1872"/>
        <w:gridCol w:w="1944"/>
        <w:gridCol w:w="792"/>
      </w:tblGrid>
      <w:tr>
        <w:trPr>
          <w:tblHeader w:val="on"/>
        </w:trPr>
        <w:tc>
          <w:tcPr>
            <w:tcW w:type="dxa" w:w="3600"/>
          </w:tcPr>
          <w:p>
            <w:pPr>
              <w:pStyle w:val="Tabletext"/>
            </w:pPr>
            <w:r>
              <w:t xml:space="preserve">Change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Before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After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Single-pass → iterative multi-round retrieval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39.7%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57.8%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3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Seven curated organization/place nodes added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54.4% (CI 50.7–58.0)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63.1%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3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Graph-context injection turned off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53.4%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56.9%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Generic → corpus-specific ontology (40 q)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59.3%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55.5%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Dream cycles only (5 milestones, mean change)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−1.7 points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Prune connected, weakly evidenced entities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56.7%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52.6% (Welch p = 0.055)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4 / 3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Summaries overwrite curated descriptions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166–173 kw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155 of 225 kw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/>
      <w:r>
        <w:rPr>
          <w:b/>
          <w:bCs/>
        </w:rPr>
        <w:t xml:space="preserve">What moved accuracy during development</w:t>
      </w:r>
      <w:r>
        <w:t xml:space="preserve"> </w:t>
      </w:r>
      <w:r>
        <w:t xml:space="preserve">(Figure 2). Over 88 milestones, memoir recall rose from 24.6%</w:t>
      </w:r>
      <w:r>
        <w:t xml:space="preserve"> </w:t>
      </w:r>
      <w:r>
        <w:t xml:space="preserve">to 95.6%. This is a development history, not held-out accuracy: every milestone was tuned against the</w:t>
      </w:r>
      <w:r>
        <w:t xml:space="preserve"> </w:t>
      </w:r>
      <w:r>
        <w:t xml:space="preserve">same questions, and the question set, generation temperature and scorer each changed once. Code and configuration</w:t>
      </w:r>
      <w:r>
        <w:t xml:space="preserve"> </w:t>
      </w:r>
      <w:r>
        <w:t xml:space="preserve">changes to retrieval and query handling drove most of the rise to 74.7% (milestone 58). The five milestones that only ran dream cycles changed</w:t>
      </w:r>
      <w:r>
        <w:t xml:space="preserve"> </w:t>
      </w:r>
      <w:r>
        <w:t xml:space="preserve">recall by −4.5 to +0.9 points. The eight that only edited curated seed data all raised it (+0.4 to +8.7),</w:t>
      </w:r>
      <w:r>
        <w:t xml:space="preserve"> </w:t>
      </w:r>
      <w:r>
        <w:t xml:space="preserve">several in response to specific questions, and account for about 25 points.</w:t>
      </w:r>
    </w:p>
    <w:p>
      <w:pPr/>
      <w:r>
        <w:rPr>
          <w:b/>
          <w:bCs/>
        </w:rPr>
        <w:t xml:space="preserve">Cost.</w:t>
      </w:r>
      <w:r>
        <w:t xml:space="preserve"> </w:t>
      </w:r>
      <w:r>
        <w:t xml:space="preserve">Graph construction ran at 0.17–0.83 passages/s on two commodity GPUs (15,018 passages in</w:t>
      </w:r>
      <w:r>
        <w:t xml:space="preserve"> </w:t>
      </w:r>
      <w:r>
        <w:t xml:space="preserve">18 h), depending on entity density. A dream cycle of 200 completions took 3–21 min (median 13), with no</w:t>
      </w:r>
      <w:r>
        <w:t xml:space="preserve"> </w:t>
      </w:r>
      <w:r>
        <w:t xml:space="preserve">trend in graph size; a converged cycle takes seconds.</w:t>
      </w:r>
    </w:p>
    <w:p>
      <w:pPr>
        <w:ind w:firstLine="0"/>
        <w:jc w:val="center"/>
      </w:pPr>
      <w:r>
        <w:drawing>
          <wp:inline>
            <wp:extent cx="4672920" cy="1990884"/>
            <wp:effectExtent b="0" l="0" r="0" t="0"/>
            <wp:docPr descr="Figure 2. Memoir answer recall across 88 development milestones. Dashed lines: changes to the instrument. Orange: dream cycles only. Green: curated seed edits only." title="" id="36" name="Picture"/>
            <a:graphic>
              <a:graphicData uri="http://schemas.openxmlformats.org/drawingml/2006/picture">
                <pic:pic>
                  <pic:nvPicPr>
                    <pic:cNvPr descr="figures/short2_development_histor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199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Memoir answer recall across 88 development milestones. Dashed lines: changes to the</w:t>
      </w:r>
      <w:r>
        <w:t xml:space="preserve"> </w:t>
      </w:r>
      <w:r>
        <w:t xml:space="preserve">instrument. Orange: dream cycles only. Green: curated seed edits only.</w:t>
      </w:r>
    </w:p>
    <w:bookmarkEnd w:id="38"/>
    <w:bookmarkStart w:id="39" w:name="discussion-and-limitations"/>
    <w:p>
      <w:pPr>
        <w:pStyle w:val="Section"/>
      </w:pPr>
      <w:r>
        <w:t xml:space="preserve">Discussion and limitations</w:t>
      </w:r>
    </w:p>
    <w:p>
      <w:pPr/>
      <w:r>
        <w:t xml:space="preserve">The loop does what it is designed to do, and it does not buy accuracy. Our explanation is that the</w:t>
      </w:r>
      <w:r>
        <w:t xml:space="preserve"> </w:t>
      </w:r>
      <w:r>
        <w:t xml:space="preserve">graphs carried almost no relations, so completeness tracked types and fields that restate what the</w:t>
      </w:r>
      <w:r>
        <w:t xml:space="preserve"> </w:t>
      </w:r>
      <w:r>
        <w:t xml:space="preserve">passages already say; hybrid, iterative retrieval over those passages is what moved answers. We expect</w:t>
      </w:r>
      <w:r>
        <w:t xml:space="preserve"> </w:t>
      </w:r>
      <w:r>
        <w:t xml:space="preserve">consolidation to pay off only with precise, typed relation extraction. Until then, fact density is</w:t>
      </w:r>
      <w:r>
        <w:t xml:space="preserve"> </w:t>
      </w:r>
      <w:r>
        <w:t xml:space="preserve">worth having where people read and maintain the graph, not as a route to better answers.</w:t>
      </w:r>
    </w:p>
    <w:p>
      <w:pPr/>
      <w:r>
        <w:t xml:space="preserve">Limitations: no static-RAG or external GraphRAG baseline; before/after evaluation on one corpus only;</w:t>
      </w:r>
      <w:r>
        <w:t xml:space="preserve"> </w:t>
      </w:r>
      <w:r>
        <w:t xml:space="preserve">one to four runs per comparison; keyword-overlap scoring with a same-model judge; no fact-checking of</w:t>
      </w:r>
      <w:r>
        <w:t xml:space="preserve"> </w:t>
      </w:r>
      <w:r>
        <w:t xml:space="preserve">generated descriptions; English only, at most 15,018 passages. We recommend that evaluations of</w:t>
      </w:r>
      <w:r>
        <w:t xml:space="preserve"> </w:t>
      </w:r>
      <w:r>
        <w:t xml:space="preserve">self-improving RAG report accuracy directly, against a measured noise floor, and never infer it from</w:t>
      </w:r>
      <w:r>
        <w:t xml:space="preserve"> </w:t>
      </w:r>
      <w:r>
        <w:t xml:space="preserve">graph structure.</w:t>
      </w:r>
    </w:p>
    <w:p>
      <w:pPr>
        <w:pStyle w:val="References"/>
      </w:pPr>
      <w:r>
        <w:t xml:space="preserve">References</w:t>
      </w:r>
    </w:p>
    <w:p>
      <w:pPr>
        <w:pStyle w:val="Bibliography"/>
      </w:pPr>
      <w:r>
        <w:t xml:space="preserve">Cormack, G. V., Clarke, C. L. A., Büttcher, S. 2009. Reciprocal rank fusion outperforms Condorcet and individual rank learning methods. In Proc. SIGIR ’09, 758–759.</w:t>
      </w:r>
    </w:p>
    <w:p>
      <w:pPr>
        <w:pStyle w:val="Bibliography"/>
      </w:pPr>
      <w:r>
        <w:t xml:space="preserve">Edge, D., et al. 2024. From local to global: A graph RAG approach to query-focused summarization. arXiv:2404.16130.</w:t>
      </w:r>
    </w:p>
    <w:p>
      <w:pPr>
        <w:pStyle w:val="Bibliography"/>
      </w:pPr>
      <w:r>
        <w:t xml:space="preserve">Friston, K. 2010. The free-energy principle: a unified brain theory? Nat. Rev. Neurosci. 11, 127–138.</w:t>
      </w:r>
    </w:p>
    <w:p>
      <w:pPr>
        <w:pStyle w:val="Bibliography"/>
      </w:pPr>
      <w:r>
        <w:t xml:space="preserve">Guo, Z., et al. 2025. LightRAG: Simple and fast retrieval-augmented generation. In Findings of EMNLP 2025, 10746–10761.</w:t>
      </w:r>
    </w:p>
    <w:p>
      <w:pPr>
        <w:pStyle w:val="Bibliography"/>
      </w:pPr>
      <w:r>
        <w:t xml:space="preserve">Gutiérrez, B. J., et al. 2024. HippoRAG: Neurobiologically inspired long-term memory for large language models. In NeurIPS 2024.</w:t>
      </w:r>
    </w:p>
    <w:p>
      <w:pPr>
        <w:pStyle w:val="Bibliography"/>
      </w:pPr>
      <w:r>
        <w:t xml:space="preserve">McClelland, J. L., McNaughton, B. L., O’Reilly, R. C. 1995. Why there are complementary learning systems in the hippocampus and neocortex: Insights from the successes and failures of connectionist models of learning and memory. Psychol. Rev. 102(3), 419–457.</w:t>
      </w:r>
    </w:p>
    <w:bookmarkEnd w:id="39"/>
    <w:sectPr w:rsidR="00865CD8" w:rsidRPr="006229A5" w:rsidSect="00E91F75">
      <w:footnotePr>
        <w:numFmt w:val="chicago"/>
      </w:footnotePr>
      <w:pgSz w:h="15840" w:w="12240"/>
      <w:pgMar w:bottom="2132" w:footer="0" w:gutter="0" w:header="0" w:left="2019" w:right="2019" w:top="2132"/>
      <w:cols w:space="708"/>
      <w:docGrid w:linePitch="272"/>
      <w:printerSettings r:id="rId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font250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1D"/>
    <w:multiLevelType w:val="multilevel"/>
    <w:tmpl w:val="DA103A1A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:abstractNumId="1">
    <w:nsid w:val="FFFFFF7D"/>
    <w:multiLevelType w:val="singleLevel"/>
    <w:tmpl w:val="1E923898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0E05FA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12C8F8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0"/>
    <w:multiLevelType w:val="singleLevel"/>
    <w:tmpl w:val="4C86042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9DECE2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D00678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BC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8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00000002">
      <w:start w:val="1"/>
      <w:numFmt w:val="decimal"/>
      <w:lvlText w:val="%2."/>
      <w:lvlJc w:val="left"/>
      <w:pPr>
        <w:ind w:hanging="360" w:left="144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B0C0849"/>
    <w:multiLevelType w:val="hybridMultilevel"/>
    <w:tmpl w:val="F572B2E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19E648C3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1">
    <w:nsid w:val="1EB70EC2"/>
    <w:multiLevelType w:val="multilevel"/>
    <w:tmpl w:val="1A44291A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2">
    <w:nsid w:val="23C91FFD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3">
    <w:nsid w:val="258217BA"/>
    <w:multiLevelType w:val="multilevel"/>
    <w:tmpl w:val="6942A968"/>
    <w:lvl w:ilvl="0">
      <w:start w:val="1"/>
      <w:numFmt w:val="decimal"/>
      <w:pStyle w:val="Section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Subsection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4">
    <w:nsid w:val="27801C72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5">
    <w:nsid w:val="3A116F78"/>
    <w:multiLevelType w:val="multilevel"/>
    <w:tmpl w:val="F0E2C39C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6">
    <w:nsid w:val="420033E8"/>
    <w:multiLevelType w:val="multilevel"/>
    <w:tmpl w:val="ECF4F64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7">
    <w:nsid w:val="4894133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:abstractNumId="18">
    <w:nsid w:val="4CAD4A0F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9">
    <w:nsid w:val="563A2BF0"/>
    <w:multiLevelType w:val="multilevel"/>
    <w:tmpl w:val="E8269AA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0">
    <w:nsid w:val="5E3F5100"/>
    <w:multiLevelType w:val="multilevel"/>
    <w:tmpl w:val="9FACF9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1">
    <w:nsid w:val="64F562D0"/>
    <w:multiLevelType w:val="hybridMultilevel"/>
    <w:tmpl w:val="1A0A39AC"/>
    <w:lvl w:ilvl="0" w:tplc="04090001">
      <w:start w:val="1"/>
      <w:numFmt w:val="bullet"/>
      <w:lvlText w:val=""/>
      <w:lvlJc w:val="left"/>
      <w:pPr>
        <w:ind w:hanging="360" w:left="105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7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9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1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3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5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7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9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10"/>
      </w:pPr>
      <w:rPr>
        <w:rFonts w:ascii="Wingdings" w:hAnsi="Wingdings" w:hint="default"/>
      </w:rPr>
    </w:lvl>
  </w:abstractNum>
  <w:abstractNum w:abstractNumId="22">
    <w:nsid w:val="65E12F42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3">
    <w:nsid w:val="70233B68"/>
    <w:multiLevelType w:val="multilevel"/>
    <w:tmpl w:val="9EC6B9F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4">
    <w:nsid w:val="767119A0"/>
    <w:multiLevelType w:val="multilevel"/>
    <w:tmpl w:val="CE74C69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5">
    <w:nsid w:val="78355293"/>
    <w:multiLevelType w:val="multilevel"/>
    <w:tmpl w:val="37587A1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6">
    <w:nsid w:val="78C91AE8"/>
    <w:multiLevelType w:val="multilevel"/>
    <w:tmpl w:val="295CF82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9"/>
  </w:num>
  <w:num w:numId="2">
    <w:abstractNumId w:val="15"/>
  </w:num>
  <w:num w:numId="3">
    <w:abstractNumId w:val="26"/>
  </w:num>
  <w:num w:numId="4">
    <w:abstractNumId w:val="19"/>
  </w:num>
  <w:num w:numId="5">
    <w:abstractNumId w:val="11"/>
  </w:num>
  <w:num w:numId="6">
    <w:abstractNumId w:val="10"/>
  </w:num>
  <w:num w:numId="7">
    <w:abstractNumId w:val="13"/>
  </w:num>
  <w:num w:numId="8">
    <w:abstractNumId w:val="18"/>
  </w:num>
  <w:num w:numId="9">
    <w:abstractNumId w:val="14"/>
  </w:num>
  <w:num w:numId="10">
    <w:abstractNumId w:val="16"/>
  </w:num>
  <w:num w:numId="11">
    <w:abstractNumId w:val="25"/>
  </w:num>
  <w:num w:numId="12">
    <w:abstractNumId w:val="22"/>
  </w:num>
  <w:num w:numId="13">
    <w:abstractNumId w:val="12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1"/>
  </w:num>
  <w:num w:numId="19">
    <w:abstractNumId w:val="8"/>
  </w:num>
  <w:num w:numId="20">
    <w:abstractNumId w:val="0"/>
  </w:num>
  <w:num w:numId="21">
    <w:abstractNumId w:val="1"/>
  </w:num>
  <w:num w:numId="22">
    <w:abstractNumId w:val="2"/>
  </w:num>
  <w:num w:numId="23">
    <w:abstractNumId w:val="3"/>
  </w:num>
  <w:num w:numId="24">
    <w:abstractNumId w:val="4"/>
  </w:num>
  <w:num w:numId="25">
    <w:abstractNumId w:val="5"/>
  </w:num>
  <w:num w:numId="26">
    <w:abstractNumId w:val="6"/>
  </w:num>
  <w:num w:numId="27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removePersonalInformation/>
  <w:removeDateAndTime/>
  <w:embedSystemFonts/>
  <w:activeWritingStyle w:appName="MSWord" w:checkStyle="0" w:dllVersion="131078" w:lang="en-US" w:nlCheck="1" w:vendorID="64"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doNotTrackMoves/>
  <w:defaultTabStop w:val="720"/>
  <w:drawingGridHorizontalSpacing w:val="100"/>
  <w:drawingGridVerticalSpacing w:val="136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132"/>
    <w:rsid w:val="0000013A"/>
    <w:rsid w:val="000074FB"/>
    <w:rsid w:val="000234BA"/>
    <w:rsid w:val="0005655A"/>
    <w:rsid w:val="00071594"/>
    <w:rsid w:val="000801B0"/>
    <w:rsid w:val="000820B5"/>
    <w:rsid w:val="00085412"/>
    <w:rsid w:val="00091FE6"/>
    <w:rsid w:val="000F0527"/>
    <w:rsid w:val="00101044"/>
    <w:rsid w:val="00113863"/>
    <w:rsid w:val="00114FAC"/>
    <w:rsid w:val="001204FA"/>
    <w:rsid w:val="0016116E"/>
    <w:rsid w:val="00163854"/>
    <w:rsid w:val="00164AB4"/>
    <w:rsid w:val="0018172A"/>
    <w:rsid w:val="0018208F"/>
    <w:rsid w:val="001920C8"/>
    <w:rsid w:val="0019671F"/>
    <w:rsid w:val="001B6FA5"/>
    <w:rsid w:val="001D38E2"/>
    <w:rsid w:val="001D5FE3"/>
    <w:rsid w:val="001E3E23"/>
    <w:rsid w:val="001F19BF"/>
    <w:rsid w:val="002026B5"/>
    <w:rsid w:val="00215526"/>
    <w:rsid w:val="00217703"/>
    <w:rsid w:val="00230DDE"/>
    <w:rsid w:val="00253A1F"/>
    <w:rsid w:val="00257E0B"/>
    <w:rsid w:val="002603F1"/>
    <w:rsid w:val="0026066A"/>
    <w:rsid w:val="00261776"/>
    <w:rsid w:val="002638ED"/>
    <w:rsid w:val="00273A5B"/>
    <w:rsid w:val="002804AA"/>
    <w:rsid w:val="00291C13"/>
    <w:rsid w:val="002A440A"/>
    <w:rsid w:val="002B313C"/>
    <w:rsid w:val="002C4F13"/>
    <w:rsid w:val="002D0118"/>
    <w:rsid w:val="002D2C4B"/>
    <w:rsid w:val="002D6CF5"/>
    <w:rsid w:val="002F727D"/>
    <w:rsid w:val="0030589E"/>
    <w:rsid w:val="003135AA"/>
    <w:rsid w:val="00316408"/>
    <w:rsid w:val="00323EF2"/>
    <w:rsid w:val="00324CA4"/>
    <w:rsid w:val="00332B45"/>
    <w:rsid w:val="003520D8"/>
    <w:rsid w:val="0035295B"/>
    <w:rsid w:val="003621AA"/>
    <w:rsid w:val="0036309E"/>
    <w:rsid w:val="003660E4"/>
    <w:rsid w:val="00386132"/>
    <w:rsid w:val="003A457E"/>
    <w:rsid w:val="003B03CF"/>
    <w:rsid w:val="003B6750"/>
    <w:rsid w:val="003C4829"/>
    <w:rsid w:val="003D0EC3"/>
    <w:rsid w:val="003D5AF4"/>
    <w:rsid w:val="003E0D71"/>
    <w:rsid w:val="003E52E0"/>
    <w:rsid w:val="003E55D2"/>
    <w:rsid w:val="00410EE5"/>
    <w:rsid w:val="0041433E"/>
    <w:rsid w:val="0042064D"/>
    <w:rsid w:val="00421CBB"/>
    <w:rsid w:val="00423242"/>
    <w:rsid w:val="00432DD4"/>
    <w:rsid w:val="004356EA"/>
    <w:rsid w:val="00442822"/>
    <w:rsid w:val="00461480"/>
    <w:rsid w:val="00467A44"/>
    <w:rsid w:val="0047564C"/>
    <w:rsid w:val="004801AF"/>
    <w:rsid w:val="00482D29"/>
    <w:rsid w:val="004A2EEB"/>
    <w:rsid w:val="004A7C74"/>
    <w:rsid w:val="004C2F75"/>
    <w:rsid w:val="004D6692"/>
    <w:rsid w:val="004D7242"/>
    <w:rsid w:val="004F6821"/>
    <w:rsid w:val="00500E6C"/>
    <w:rsid w:val="005011C8"/>
    <w:rsid w:val="00504E87"/>
    <w:rsid w:val="00507A6E"/>
    <w:rsid w:val="00507CA5"/>
    <w:rsid w:val="005101A1"/>
    <w:rsid w:val="00527955"/>
    <w:rsid w:val="00530D40"/>
    <w:rsid w:val="005320D6"/>
    <w:rsid w:val="00537F31"/>
    <w:rsid w:val="0054389D"/>
    <w:rsid w:val="00543A90"/>
    <w:rsid w:val="00547DDD"/>
    <w:rsid w:val="005631D5"/>
    <w:rsid w:val="00571090"/>
    <w:rsid w:val="0059409F"/>
    <w:rsid w:val="00596D0C"/>
    <w:rsid w:val="005A3DA1"/>
    <w:rsid w:val="005A3EB8"/>
    <w:rsid w:val="005B26AA"/>
    <w:rsid w:val="005B4337"/>
    <w:rsid w:val="005B5E10"/>
    <w:rsid w:val="005B7487"/>
    <w:rsid w:val="005C4C45"/>
    <w:rsid w:val="00602610"/>
    <w:rsid w:val="006229A5"/>
    <w:rsid w:val="00625941"/>
    <w:rsid w:val="006272C8"/>
    <w:rsid w:val="00642BC2"/>
    <w:rsid w:val="00642E19"/>
    <w:rsid w:val="006576E4"/>
    <w:rsid w:val="00662955"/>
    <w:rsid w:val="00663004"/>
    <w:rsid w:val="00694022"/>
    <w:rsid w:val="006A095F"/>
    <w:rsid w:val="006A7AE0"/>
    <w:rsid w:val="006A7F8D"/>
    <w:rsid w:val="006B0B4B"/>
    <w:rsid w:val="006B1684"/>
    <w:rsid w:val="006D6870"/>
    <w:rsid w:val="006E5639"/>
    <w:rsid w:val="006E5967"/>
    <w:rsid w:val="006F2561"/>
    <w:rsid w:val="00714E70"/>
    <w:rsid w:val="007167DE"/>
    <w:rsid w:val="007225FC"/>
    <w:rsid w:val="00727951"/>
    <w:rsid w:val="00730118"/>
    <w:rsid w:val="00732E5E"/>
    <w:rsid w:val="00735441"/>
    <w:rsid w:val="0076241F"/>
    <w:rsid w:val="007A2147"/>
    <w:rsid w:val="007A5206"/>
    <w:rsid w:val="007C1099"/>
    <w:rsid w:val="007C10AE"/>
    <w:rsid w:val="007C1A51"/>
    <w:rsid w:val="007E11CB"/>
    <w:rsid w:val="007E75C5"/>
    <w:rsid w:val="007F3C9C"/>
    <w:rsid w:val="0080069B"/>
    <w:rsid w:val="00820DCA"/>
    <w:rsid w:val="00825C71"/>
    <w:rsid w:val="008410C7"/>
    <w:rsid w:val="00855D1A"/>
    <w:rsid w:val="00857F58"/>
    <w:rsid w:val="00864E39"/>
    <w:rsid w:val="00865CD8"/>
    <w:rsid w:val="0087085A"/>
    <w:rsid w:val="008909E6"/>
    <w:rsid w:val="008A2B88"/>
    <w:rsid w:val="008A5342"/>
    <w:rsid w:val="008A6C30"/>
    <w:rsid w:val="008B70BF"/>
    <w:rsid w:val="008B768D"/>
    <w:rsid w:val="008D71DE"/>
    <w:rsid w:val="008E3AF9"/>
    <w:rsid w:val="008F0670"/>
    <w:rsid w:val="008F4625"/>
    <w:rsid w:val="0090189C"/>
    <w:rsid w:val="00907449"/>
    <w:rsid w:val="009210B5"/>
    <w:rsid w:val="0092196A"/>
    <w:rsid w:val="00923F3A"/>
    <w:rsid w:val="00924B89"/>
    <w:rsid w:val="00936970"/>
    <w:rsid w:val="009460EE"/>
    <w:rsid w:val="00947FC0"/>
    <w:rsid w:val="00956729"/>
    <w:rsid w:val="009723EF"/>
    <w:rsid w:val="00996835"/>
    <w:rsid w:val="009A2394"/>
    <w:rsid w:val="009B5B83"/>
    <w:rsid w:val="009C0781"/>
    <w:rsid w:val="009C51B0"/>
    <w:rsid w:val="009E6103"/>
    <w:rsid w:val="009E6973"/>
    <w:rsid w:val="009F2A61"/>
    <w:rsid w:val="00A02C59"/>
    <w:rsid w:val="00A067B1"/>
    <w:rsid w:val="00A13344"/>
    <w:rsid w:val="00A143E3"/>
    <w:rsid w:val="00A2615B"/>
    <w:rsid w:val="00A406B5"/>
    <w:rsid w:val="00A5383D"/>
    <w:rsid w:val="00A55CBD"/>
    <w:rsid w:val="00A80656"/>
    <w:rsid w:val="00A807D6"/>
    <w:rsid w:val="00A93647"/>
    <w:rsid w:val="00AA366E"/>
    <w:rsid w:val="00AA68EA"/>
    <w:rsid w:val="00AB1C69"/>
    <w:rsid w:val="00AB4FC8"/>
    <w:rsid w:val="00AB73CD"/>
    <w:rsid w:val="00AE3EAB"/>
    <w:rsid w:val="00AF09CC"/>
    <w:rsid w:val="00B03B29"/>
    <w:rsid w:val="00B20097"/>
    <w:rsid w:val="00B266CC"/>
    <w:rsid w:val="00B31084"/>
    <w:rsid w:val="00B62CA5"/>
    <w:rsid w:val="00B734D2"/>
    <w:rsid w:val="00B74D24"/>
    <w:rsid w:val="00B913C4"/>
    <w:rsid w:val="00BA10DF"/>
    <w:rsid w:val="00BA518F"/>
    <w:rsid w:val="00BB6242"/>
    <w:rsid w:val="00BE5A7C"/>
    <w:rsid w:val="00BE7743"/>
    <w:rsid w:val="00BF1853"/>
    <w:rsid w:val="00BF788B"/>
    <w:rsid w:val="00C00E49"/>
    <w:rsid w:val="00C07377"/>
    <w:rsid w:val="00C30494"/>
    <w:rsid w:val="00C32D49"/>
    <w:rsid w:val="00C407E6"/>
    <w:rsid w:val="00C47574"/>
    <w:rsid w:val="00C508A5"/>
    <w:rsid w:val="00C51CDD"/>
    <w:rsid w:val="00C525B9"/>
    <w:rsid w:val="00C52EAE"/>
    <w:rsid w:val="00C55A43"/>
    <w:rsid w:val="00C80B33"/>
    <w:rsid w:val="00C86395"/>
    <w:rsid w:val="00CA301D"/>
    <w:rsid w:val="00CB2D77"/>
    <w:rsid w:val="00CB6318"/>
    <w:rsid w:val="00CD04E7"/>
    <w:rsid w:val="00CD37D5"/>
    <w:rsid w:val="00CD4872"/>
    <w:rsid w:val="00CD566A"/>
    <w:rsid w:val="00D07285"/>
    <w:rsid w:val="00D1227F"/>
    <w:rsid w:val="00D13400"/>
    <w:rsid w:val="00D23629"/>
    <w:rsid w:val="00D270BF"/>
    <w:rsid w:val="00D330BD"/>
    <w:rsid w:val="00D3762E"/>
    <w:rsid w:val="00D40736"/>
    <w:rsid w:val="00D41628"/>
    <w:rsid w:val="00D623F9"/>
    <w:rsid w:val="00D7130B"/>
    <w:rsid w:val="00D73D40"/>
    <w:rsid w:val="00D83112"/>
    <w:rsid w:val="00D9151F"/>
    <w:rsid w:val="00DA2A10"/>
    <w:rsid w:val="00DA5EE8"/>
    <w:rsid w:val="00DC0A65"/>
    <w:rsid w:val="00DC3CC5"/>
    <w:rsid w:val="00DC4DAD"/>
    <w:rsid w:val="00DD7A75"/>
    <w:rsid w:val="00DE2B02"/>
    <w:rsid w:val="00DE518A"/>
    <w:rsid w:val="00DE7C97"/>
    <w:rsid w:val="00DF7662"/>
    <w:rsid w:val="00DF79CD"/>
    <w:rsid w:val="00E02707"/>
    <w:rsid w:val="00E54EBE"/>
    <w:rsid w:val="00E6584B"/>
    <w:rsid w:val="00E77F29"/>
    <w:rsid w:val="00E91F75"/>
    <w:rsid w:val="00E93ED2"/>
    <w:rsid w:val="00E9638B"/>
    <w:rsid w:val="00EA5F74"/>
    <w:rsid w:val="00EB34E1"/>
    <w:rsid w:val="00EB68DC"/>
    <w:rsid w:val="00EE03D2"/>
    <w:rsid w:val="00EE1303"/>
    <w:rsid w:val="00EE685B"/>
    <w:rsid w:val="00EF071E"/>
    <w:rsid w:val="00F00CC8"/>
    <w:rsid w:val="00F04217"/>
    <w:rsid w:val="00F35B36"/>
    <w:rsid w:val="00F362C8"/>
    <w:rsid w:val="00F37209"/>
    <w:rsid w:val="00F601F4"/>
    <w:rsid w:val="00F727D6"/>
    <w:rsid w:val="00F72ED9"/>
    <w:rsid w:val="00F73594"/>
    <w:rsid w:val="00F910C3"/>
    <w:rsid w:val="00FA06E6"/>
    <w:rsid w:val="00FA4E5E"/>
    <w:rsid w:val="00FC015F"/>
    <w:rsid w:val="00FD0B79"/>
    <w:rsid w:val="00FE32BD"/>
    <w:rsid w:val="00FF58C6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>
    <w:lsdException w:name="heading 1" w:qFormat="1" w:uiPriority="9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Revision" w:semiHidden="1"/>
    <w:lsdException w:name="List Paragraph" w:qFormat="1" w:uiPriority="34"/>
  </w:latentStyles>
  <w:style w:default="1" w:styleId="Normal" w:type="paragraph">
    <w:name w:val="Normal"/>
    <w:qFormat/>
    <w:rsid w:val="00257E0B"/>
    <w:pPr>
      <w:ind w:firstLine="284"/>
      <w:jc w:val="both"/>
    </w:pPr>
    <w:rPr>
      <w:rFonts w:ascii="Times New Roman" w:hAnsi="Times New Roman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655A"/>
    <w:pPr>
      <w:keepNext/>
      <w:keepLines/>
      <w:spacing w:before="480"/>
      <w:outlineLvl w:val="0"/>
    </w:pPr>
    <w:rPr>
      <w:rFonts w:cstheme="majorBidi" w:eastAsiaTheme="majorEastAsia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rsid w:val="0005655A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basedOn w:val="DefaultParagraphFont"/>
    <w:uiPriority w:val="99"/>
    <w:unhideWhenUsed/>
    <w:rsid w:val="00F73594"/>
    <w:rPr>
      <w:color w:themeColor="hyperlink" w:val="0000FF"/>
      <w:u w:val="single"/>
    </w:rPr>
  </w:style>
  <w:style w:customStyle="1" w:styleId="Heading1Char" w:type="character">
    <w:name w:val="Heading 1 Char"/>
    <w:basedOn w:val="DefaultParagraphFont"/>
    <w:link w:val="Heading1"/>
    <w:uiPriority w:val="9"/>
    <w:rsid w:val="0005655A"/>
    <w:rPr>
      <w:rFonts w:ascii="Times New Roman" w:cstheme="majorBidi" w:eastAsiaTheme="majorEastAsia" w:hAnsi="Times New Roman"/>
      <w:b/>
      <w:bCs/>
      <w:color w:themeColor="accent1" w:themeShade="B5" w:val="345A8A"/>
      <w:sz w:val="32"/>
      <w:szCs w:val="32"/>
    </w:rPr>
  </w:style>
  <w:style w:styleId="Title" w:type="paragraph">
    <w:name w:val="Title"/>
    <w:basedOn w:val="Normal"/>
    <w:next w:val="Authors"/>
    <w:link w:val="TitleChar"/>
    <w:uiPriority w:val="10"/>
    <w:qFormat/>
    <w:rsid w:val="00101044"/>
    <w:pPr>
      <w:spacing w:after="300"/>
      <w:contextualSpacing/>
      <w:jc w:val="center"/>
    </w:pPr>
    <w:rPr>
      <w:rFonts w:cstheme="majorBidi" w:eastAsiaTheme="majorEastAsi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01044"/>
    <w:rPr>
      <w:rFonts w:ascii="Times New Roman" w:cstheme="majorBidi" w:eastAsiaTheme="majorEastAsia" w:hAnsi="Times New Roman"/>
      <w:spacing w:val="5"/>
      <w:kern w:val="28"/>
      <w:sz w:val="40"/>
      <w:szCs w:val="52"/>
    </w:rPr>
  </w:style>
  <w:style w:customStyle="1" w:styleId="Authors" w:type="paragraph">
    <w:name w:val="Authors"/>
    <w:basedOn w:val="Normal"/>
    <w:next w:val="Institute"/>
    <w:link w:val="AuthorsChar"/>
    <w:qFormat/>
    <w:rsid w:val="00101044"/>
    <w:pPr>
      <w:jc w:val="center"/>
    </w:pPr>
    <w:rPr>
      <w:sz w:val="26"/>
    </w:rPr>
  </w:style>
  <w:style w:customStyle="1" w:styleId="AuthorsChar" w:type="character">
    <w:name w:val="Authors Char"/>
    <w:basedOn w:val="DefaultParagraphFont"/>
    <w:link w:val="Authors"/>
    <w:rsid w:val="00101044"/>
    <w:rPr>
      <w:rFonts w:ascii="Times New Roman" w:hAnsi="Times New Roman"/>
      <w:sz w:val="26"/>
    </w:rPr>
  </w:style>
  <w:style w:customStyle="1" w:styleId="Section" w:type="paragraph">
    <w:name w:val="Section"/>
    <w:basedOn w:val="Heading1"/>
    <w:next w:val="Normal"/>
    <w:link w:val="SectionChar"/>
    <w:qFormat/>
    <w:rsid w:val="0080069B"/>
    <w:pPr>
      <w:numPr>
        <w:numId w:val="7"/>
      </w:numPr>
      <w:spacing w:after="160"/>
    </w:pPr>
    <w:rPr>
      <w:b w:val="0"/>
      <w:color w:val="auto"/>
    </w:rPr>
  </w:style>
  <w:style w:customStyle="1" w:styleId="SectionChar" w:type="character">
    <w:name w:val="Section Char"/>
    <w:basedOn w:val="Heading1Char"/>
    <w:link w:val="Section"/>
    <w:rsid w:val="0080069B"/>
    <w:rPr>
      <w:rFonts w:ascii="Times New Roman" w:cstheme="majorBidi" w:eastAsiaTheme="majorEastAsia" w:hAnsi="Times New Roman"/>
      <w:b w:val="0"/>
      <w:bCs/>
      <w:color w:themeColor="accent1" w:themeShade="B5" w:val="345A8A"/>
      <w:sz w:val="32"/>
      <w:szCs w:val="32"/>
    </w:rPr>
  </w:style>
  <w:style w:customStyle="1" w:styleId="Subsection" w:type="paragraph">
    <w:name w:val="Subsection"/>
    <w:basedOn w:val="Heading2"/>
    <w:next w:val="Normal"/>
    <w:link w:val="SubsectionChar"/>
    <w:qFormat/>
    <w:rsid w:val="0080069B"/>
    <w:pPr>
      <w:numPr>
        <w:ilvl w:val="1"/>
        <w:numId w:val="7"/>
      </w:numPr>
      <w:spacing w:after="120"/>
    </w:pPr>
    <w:rPr>
      <w:rFonts w:ascii="Times New Roman" w:hAnsi="Times New Roman"/>
      <w:b w:val="0"/>
      <w:color w:val="auto"/>
      <w:sz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5655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SubsectionChar" w:type="character">
    <w:name w:val="Subsection Char"/>
    <w:basedOn w:val="Heading2Char"/>
    <w:link w:val="Subsection"/>
    <w:rsid w:val="0080069B"/>
    <w:rPr>
      <w:rFonts w:ascii="Times New Roman" w:cstheme="majorBidi" w:eastAsiaTheme="majorEastAsia" w:hAnsi="Times New Roman"/>
      <w:b w:val="0"/>
      <w:bCs/>
      <w:color w:themeColor="accent1" w:val="4F81BD"/>
      <w:sz w:val="28"/>
      <w:szCs w:val="26"/>
    </w:rPr>
  </w:style>
  <w:style w:customStyle="1" w:styleId="Institute" w:type="paragraph">
    <w:name w:val="Institute"/>
    <w:basedOn w:val="Authors"/>
    <w:link w:val="InstituteChar"/>
    <w:qFormat/>
    <w:rsid w:val="00101044"/>
    <w:rPr>
      <w:sz w:val="20"/>
    </w:rPr>
  </w:style>
  <w:style w:customStyle="1" w:styleId="InstituteChar" w:type="character">
    <w:name w:val="Institute Char"/>
    <w:basedOn w:val="AuthorsChar"/>
    <w:link w:val="Institute"/>
    <w:rsid w:val="00101044"/>
    <w:rPr>
      <w:rFonts w:ascii="Times New Roman" w:hAnsi="Times New Roman"/>
      <w:sz w:val="20"/>
    </w:rPr>
  </w:style>
  <w:style w:styleId="ListParagraph" w:type="paragraph">
    <w:name w:val="List Paragraph"/>
    <w:basedOn w:val="Normal"/>
    <w:uiPriority w:val="34"/>
    <w:qFormat/>
    <w:rsid w:val="0019671F"/>
    <w:pPr>
      <w:spacing w:after="120" w:before="120"/>
      <w:ind w:left="720"/>
    </w:pPr>
  </w:style>
  <w:style w:customStyle="1" w:styleId="Monospaced" w:type="character">
    <w:name w:val="Monospaced"/>
    <w:basedOn w:val="DefaultParagraphFont"/>
    <w:uiPriority w:val="1"/>
    <w:qFormat/>
    <w:rsid w:val="00527955"/>
    <w:rPr>
      <w:rFonts w:ascii="Courier" w:hAnsi="Courier"/>
    </w:rPr>
  </w:style>
  <w:style w:customStyle="1" w:styleId="Abstracttitle" w:type="paragraph">
    <w:name w:val="Abstract title"/>
    <w:basedOn w:val="Section"/>
    <w:next w:val="Abstract"/>
    <w:link w:val="AbstracttitleChar"/>
    <w:qFormat/>
    <w:rsid w:val="00A406B5"/>
    <w:pPr>
      <w:numPr>
        <w:numId w:val="0"/>
      </w:numPr>
      <w:spacing w:after="80"/>
      <w:jc w:val="center"/>
    </w:pPr>
    <w:rPr>
      <w:b/>
      <w:sz w:val="20"/>
    </w:rPr>
  </w:style>
  <w:style w:customStyle="1" w:styleId="AbstracttitleChar" w:type="character">
    <w:name w:val="Abstract title Char"/>
    <w:basedOn w:val="SectionChar"/>
    <w:link w:val="Abstracttitle"/>
    <w:rsid w:val="006229A5"/>
    <w:rPr>
      <w:rFonts w:ascii="Times New Roman" w:cstheme="majorBidi" w:eastAsiaTheme="majorEastAsia" w:hAnsi="Times New Roman"/>
      <w:b/>
      <w:bCs/>
      <w:color w:themeColor="accent1" w:themeShade="B5" w:val="345A8A"/>
      <w:sz w:val="20"/>
      <w:szCs w:val="32"/>
    </w:rPr>
  </w:style>
  <w:style w:customStyle="1" w:styleId="Abstract" w:type="paragraph">
    <w:name w:val="Abstract"/>
    <w:basedOn w:val="Normal"/>
    <w:link w:val="AbstractChar"/>
    <w:qFormat/>
    <w:rsid w:val="0019671F"/>
    <w:pPr>
      <w:ind w:left="567" w:right="567"/>
    </w:pPr>
  </w:style>
  <w:style w:customStyle="1" w:styleId="AbstractChar" w:type="character">
    <w:name w:val="Abstract Char"/>
    <w:basedOn w:val="SectionChar"/>
    <w:link w:val="Abstract"/>
    <w:rsid w:val="0019671F"/>
    <w:rPr>
      <w:rFonts w:ascii="Times New Roman" w:cstheme="majorBidi" w:eastAsiaTheme="majorEastAsia" w:hAnsi="Times New Roman"/>
      <w:b w:val="0"/>
      <w:bCs w:val="0"/>
      <w:color w:themeColor="accent1" w:themeShade="B5" w:val="345A8A"/>
      <w:sz w:val="20"/>
      <w:szCs w:val="32"/>
    </w:rPr>
  </w:style>
  <w:style w:customStyle="1" w:styleId="Sans-Serif" w:type="character">
    <w:name w:val="Sans-Serif"/>
    <w:basedOn w:val="DefaultParagraphFont"/>
    <w:uiPriority w:val="1"/>
    <w:qFormat/>
    <w:rsid w:val="00527955"/>
    <w:rPr>
      <w:rFonts w:ascii="Helvetica" w:hAnsi="Helvetica"/>
    </w:rPr>
  </w:style>
  <w:style w:styleId="FootnoteText" w:type="paragraph">
    <w:name w:val="footnote text"/>
    <w:basedOn w:val="Normal"/>
    <w:link w:val="FootnoteTextChar"/>
    <w:uiPriority w:val="99"/>
    <w:unhideWhenUsed/>
    <w:rsid w:val="0041433E"/>
    <w:rPr>
      <w:sz w:val="16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41433E"/>
    <w:rPr>
      <w:rFonts w:ascii="Times New Roman" w:hAnsi="Times New Roman"/>
      <w:sz w:val="16"/>
    </w:rPr>
  </w:style>
  <w:style w:styleId="FootnoteReference" w:type="character">
    <w:name w:val="footnote reference"/>
    <w:basedOn w:val="DefaultParagraphFont"/>
    <w:uiPriority w:val="99"/>
    <w:unhideWhenUsed/>
    <w:rsid w:val="006229A5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4D7242"/>
    <w:rPr>
      <w:sz w:val="24"/>
    </w:rPr>
  </w:style>
  <w:style w:customStyle="1" w:styleId="EndnoteTextChar" w:type="character">
    <w:name w:val="Endnote Text Char"/>
    <w:basedOn w:val="DefaultParagraphFont"/>
    <w:link w:val="EndnoteText"/>
    <w:uiPriority w:val="99"/>
    <w:rsid w:val="004D7242"/>
    <w:rPr>
      <w:rFonts w:ascii="Times New Roman" w:hAnsi="Times New Roman"/>
    </w:rPr>
  </w:style>
  <w:style w:styleId="EndnoteReference" w:type="character">
    <w:name w:val="endnote reference"/>
    <w:basedOn w:val="DefaultParagraphFont"/>
    <w:uiPriority w:val="99"/>
    <w:unhideWhenUsed/>
    <w:rsid w:val="004D7242"/>
    <w:rPr>
      <w:vertAlign w:val="superscript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D7242"/>
    <w:rPr>
      <w:rFonts w:ascii="Lucida Grande" w:cs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4D7242"/>
    <w:rPr>
      <w:rFonts w:ascii="Lucida Grande" w:cs="Lucida Grande" w:hAnsi="Lucida Grande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865CD8"/>
  </w:style>
  <w:style w:customStyle="1" w:styleId="References" w:type="paragraph">
    <w:name w:val="References"/>
    <w:basedOn w:val="Section"/>
    <w:next w:val="Normal"/>
    <w:qFormat/>
    <w:rsid w:val="00A406B5"/>
    <w:pPr>
      <w:numPr>
        <w:numId w:val="0"/>
      </w:numPr>
    </w:pPr>
  </w:style>
  <w:style w:styleId="FollowedHyperlink" w:type="character">
    <w:name w:val="FollowedHyperlink"/>
    <w:basedOn w:val="DefaultParagraphFont"/>
    <w:uiPriority w:val="99"/>
    <w:semiHidden/>
    <w:unhideWhenUsed/>
    <w:rsid w:val="00FA4E5E"/>
    <w:rPr>
      <w:color w:themeColor="followedHyperlink" w:val="800080"/>
      <w:u w:val="single"/>
    </w:rPr>
  </w:style>
  <w:style w:styleId="Caption" w:type="paragraph">
    <w:name w:val="caption"/>
    <w:basedOn w:val="Normal"/>
    <w:next w:val="Normal"/>
    <w:rsid w:val="00A93647"/>
    <w:pPr>
      <w:spacing w:after="200"/>
    </w:pPr>
    <w:rPr>
      <w:b/>
      <w:bCs/>
      <w:sz w:val="18"/>
      <w:szCs w:val="18"/>
    </w:rPr>
  </w:style>
  <w:style w:styleId="Header" w:type="paragraph">
    <w:name w:val="header"/>
    <w:basedOn w:val="Normal"/>
    <w:link w:val="HeaderChar"/>
    <w:rsid w:val="006A7F8D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rsid w:val="006A7F8D"/>
    <w:rPr>
      <w:rFonts w:ascii="Times New Roman" w:hAnsi="Times New Roman"/>
      <w:sz w:val="20"/>
    </w:rPr>
  </w:style>
  <w:style w:styleId="Footer" w:type="paragraph">
    <w:name w:val="footer"/>
    <w:basedOn w:val="Normal"/>
    <w:link w:val="FooterChar"/>
    <w:rsid w:val="006A7F8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rsid w:val="006A7F8D"/>
    <w:rPr>
      <w:rFonts w:ascii="Times New Roman" w:hAnsi="Times New Roman"/>
      <w:sz w:val="20"/>
    </w:rPr>
  </w:style>
  <w:style w:styleId="TableGrid" w:type="table">
    <w:name w:val="Table Grid"/>
    <w:basedOn w:val="TableNormal"/>
    <w:rsid w:val="00642E19"/>
    <w:tblPr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TOC1" w:type="paragraph">
    <w:name w:val="toc 1"/>
    <w:basedOn w:val="Normal"/>
    <w:next w:val="Normal"/>
    <w:autoRedefine/>
    <w:uiPriority w:val="39"/>
    <w:unhideWhenUsed/>
    <w:rsid w:val="00EF071E"/>
    <w:pPr>
      <w:spacing w:before="120"/>
      <w:jc w:val="left"/>
    </w:pPr>
    <w:rPr>
      <w:rFonts w:asciiTheme="minorHAnsi" w:hAnsiTheme="minorHAnsi"/>
      <w:b/>
      <w:bCs/>
      <w:sz w:val="22"/>
      <w:szCs w:val="22"/>
    </w:rPr>
  </w:style>
  <w:style w:styleId="TOC2" w:type="paragraph">
    <w:name w:val="toc 2"/>
    <w:basedOn w:val="Normal"/>
    <w:next w:val="Normal"/>
    <w:autoRedefine/>
    <w:uiPriority w:val="39"/>
    <w:unhideWhenUsed/>
    <w:rsid w:val="00EF071E"/>
    <w:pPr>
      <w:ind w:left="200"/>
      <w:jc w:val="left"/>
    </w:pPr>
    <w:rPr>
      <w:rFonts w:asciiTheme="minorHAnsi" w:hAnsiTheme="minorHAnsi"/>
      <w:i/>
      <w:iCs/>
      <w:sz w:val="22"/>
      <w:szCs w:val="22"/>
    </w:rPr>
  </w:style>
  <w:style w:styleId="TOC3" w:type="paragraph">
    <w:name w:val="toc 3"/>
    <w:basedOn w:val="Normal"/>
    <w:next w:val="Normal"/>
    <w:autoRedefine/>
    <w:unhideWhenUsed/>
    <w:rsid w:val="00EF071E"/>
    <w:pPr>
      <w:ind w:left="400"/>
      <w:jc w:val="left"/>
    </w:pPr>
    <w:rPr>
      <w:rFonts w:asciiTheme="minorHAnsi" w:hAnsiTheme="minorHAnsi"/>
      <w:sz w:val="22"/>
      <w:szCs w:val="22"/>
    </w:rPr>
  </w:style>
  <w:style w:styleId="TOC4" w:type="paragraph">
    <w:name w:val="toc 4"/>
    <w:basedOn w:val="Normal"/>
    <w:next w:val="Normal"/>
    <w:autoRedefine/>
    <w:unhideWhenUsed/>
    <w:rsid w:val="00EF071E"/>
    <w:pPr>
      <w:ind w:left="600"/>
      <w:jc w:val="left"/>
    </w:pPr>
    <w:rPr>
      <w:rFonts w:asciiTheme="minorHAnsi" w:hAnsiTheme="minorHAnsi"/>
      <w:szCs w:val="20"/>
    </w:rPr>
  </w:style>
  <w:style w:styleId="TOC5" w:type="paragraph">
    <w:name w:val="toc 5"/>
    <w:basedOn w:val="Normal"/>
    <w:next w:val="Normal"/>
    <w:autoRedefine/>
    <w:unhideWhenUsed/>
    <w:rsid w:val="00EF071E"/>
    <w:pPr>
      <w:ind w:left="800"/>
      <w:jc w:val="left"/>
    </w:pPr>
    <w:rPr>
      <w:rFonts w:asciiTheme="minorHAnsi" w:hAnsiTheme="minorHAnsi"/>
      <w:szCs w:val="20"/>
    </w:rPr>
  </w:style>
  <w:style w:styleId="TOC6" w:type="paragraph">
    <w:name w:val="toc 6"/>
    <w:basedOn w:val="Normal"/>
    <w:next w:val="Normal"/>
    <w:autoRedefine/>
    <w:unhideWhenUsed/>
    <w:rsid w:val="00EF071E"/>
    <w:pPr>
      <w:ind w:left="1000"/>
      <w:jc w:val="left"/>
    </w:pPr>
    <w:rPr>
      <w:rFonts w:asciiTheme="minorHAnsi" w:hAnsiTheme="minorHAnsi"/>
      <w:szCs w:val="20"/>
    </w:rPr>
  </w:style>
  <w:style w:styleId="TOC7" w:type="paragraph">
    <w:name w:val="toc 7"/>
    <w:basedOn w:val="Normal"/>
    <w:next w:val="Normal"/>
    <w:autoRedefine/>
    <w:unhideWhenUsed/>
    <w:rsid w:val="00EF071E"/>
    <w:pPr>
      <w:ind w:left="1200"/>
      <w:jc w:val="left"/>
    </w:pPr>
    <w:rPr>
      <w:rFonts w:asciiTheme="minorHAnsi" w:hAnsiTheme="minorHAnsi"/>
      <w:szCs w:val="20"/>
    </w:rPr>
  </w:style>
  <w:style w:styleId="TOC8" w:type="paragraph">
    <w:name w:val="toc 8"/>
    <w:basedOn w:val="Normal"/>
    <w:next w:val="Normal"/>
    <w:autoRedefine/>
    <w:unhideWhenUsed/>
    <w:rsid w:val="00EF071E"/>
    <w:pPr>
      <w:ind w:left="1400"/>
      <w:jc w:val="left"/>
    </w:pPr>
    <w:rPr>
      <w:rFonts w:asciiTheme="minorHAnsi" w:hAnsiTheme="minorHAnsi"/>
      <w:szCs w:val="20"/>
    </w:rPr>
  </w:style>
  <w:style w:styleId="TOC9" w:type="paragraph">
    <w:name w:val="toc 9"/>
    <w:basedOn w:val="Normal"/>
    <w:next w:val="Normal"/>
    <w:autoRedefine/>
    <w:unhideWhenUsed/>
    <w:rsid w:val="00EF071E"/>
    <w:pPr>
      <w:ind w:left="1600"/>
      <w:jc w:val="left"/>
    </w:pPr>
    <w:rPr>
      <w:rFonts w:asciiTheme="minorHAnsi" w:hAnsiTheme="minorHAnsi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basedOn w:val="Normal"/>
    <w:pPr>
      <w:spacing w:after="0"/>
      <w:ind w:firstLine="0"/>
      <w:jc w:val="left"/>
    </w:pPr>
    <w:rPr>
      <w:rFonts w:ascii="Courier New" w:hAnsi="Courier New"/>
      <w:sz w:val="16"/>
    </w:rPr>
  </w:style>
  <w:style w:type="paragraph" w:customStyle="1" w:styleId="Tabletext">
    <w:name w:val="Table text"/>
    <w:basedOn w:val="Normal"/>
    <w:pPr>
      <w:spacing w:after="0"/>
      <w:ind w:firstLine="0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'1.0' encoding='UTF-8' standalone='yes'?>
<Relationships xmlns="http://schemas.openxmlformats.org/package/2006/relationships"><Relationship Id="rId28" Type="http://schemas.openxmlformats.org/officeDocument/2006/relationships/numbering" Target="numbering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webSettings" Target="webSetting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notes" Target="footnotes.xml"/><Relationship Id="rId21" Type="http://schemas.openxmlformats.org/officeDocument/2006/relationships/comments" Target="comments.xml"/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tiff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eg"/><Relationship Id="rId32" Type="http://schemas.openxmlformats.org/officeDocument/2006/relationships/image" Target="media/rId32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2160</Words>
  <Characters>12318</Characters>
  <Application>Microsoft Macintosh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Abstract</vt:lpstr>
      <vt:lpstr>Introduction</vt:lpstr>
      <vt:lpstr>Document Header</vt:lpstr>
      <vt:lpstr>Styles</vt:lpstr>
      <vt:lpstr>    Styles for the Article Body</vt:lpstr>
      <vt:lpstr>Adding Citations</vt:lpstr>
      <vt:lpstr>Adding Figures and Tables</vt:lpstr>
      <vt:lpstr>EasyChair Style Requirements</vt:lpstr>
      <vt:lpstr>    Bug Reports</vt:lpstr>
      <vt:lpstr>What to do if You Already Created a Document Using a Different Style</vt:lpstr>
      <vt:lpstr>Submitting Your Article Through EasyChair</vt:lpstr>
      <vt:lpstr>    Submitting the Article for Reviewing</vt:lpstr>
      <vt:lpstr>    Submitting the Final Version for the Proceedings</vt:lpstr>
      <vt:lpstr>References</vt:lpstr>
    </vt:vector>
  </TitlesOfParts>
  <Manager/>
  <Company/>
  <LinksUpToDate>false</LinksUpToDate>
  <CharactersWithSpaces>14450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54</dc:title>
  <dc:creator/>
  <cp:keywords/>
  <dcterms:created xsi:type="dcterms:W3CDTF">2026-09-25T22:47:06Z</dcterms:created>
  <dcterms:modified xsi:type="dcterms:W3CDTF">2026-09-25T22:47:06Z</dcterms:modified>
  <cp:lastModifiedBy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