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Dream RAG: Offline Consolidation of Passage Memory into a Knowledge Graph</w:t>
      </w:r>
    </w:p>
    <w:p>
      <w:pPr>
        <w:pStyle w:val="Authors"/>
      </w:pPr>
      <w:r>
        <w:t xml:space="preserve">Anonymous author(s)</w:t>
      </w:r>
    </w:p>
    <w:p>
      <w:pPr>
        <w:pStyle w:val="Institute"/>
      </w:pPr>
      <w:r>
        <w:t xml:space="preserve">Anonymous institution(s)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Complementary-learning-systems theory holds that a fast, capacity-limited store is consolidated</w:t>
      </w:r>
      <w:r>
        <w:t xml:space="preserve"> </w:t>
      </w:r>
      <w:r>
        <w:t xml:space="preserve">offline into a slower structured one, after which the fast store can be released. We test the</w:t>
      </w:r>
      <w:r>
        <w:t xml:space="preserve"> </w:t>
      </w:r>
      <w:r>
        <w:t xml:space="preserve">analogous claim for retrieval-augmented generation (RAG): that an offline</w:t>
      </w:r>
      <w:r>
        <w:t xml:space="preserve"> </w:t>
      </w:r>
      <w:r>
        <w:t xml:space="preserve">“dream”</w:t>
      </w:r>
      <w:r>
        <w:t xml:space="preserve"> </w:t>
      </w:r>
      <w:r>
        <w:t xml:space="preserve">loop transfers what</w:t>
      </w:r>
      <w:r>
        <w:t xml:space="preserve"> </w:t>
      </w:r>
      <w:r>
        <w:t xml:space="preserve">a passage index holds into an entity graph. Dream RAG completes weak entities from their own evidence</w:t>
      </w:r>
      <w:r>
        <w:t xml:space="preserve"> </w:t>
      </w:r>
      <w:r>
        <w:t xml:space="preserve">with an 8B model, merges duplicates and prunes unsupported nodes. On twelve corpora, three to five</w:t>
      </w:r>
      <w:r>
        <w:t xml:space="preserve"> </w:t>
      </w:r>
      <w:r>
        <w:t xml:space="preserve">cycles reduced the entity count by 7–26% and raised graph completeness on eleven. However, with the passage index still</w:t>
      </w:r>
      <w:r>
        <w:t xml:space="preserve"> </w:t>
      </w:r>
      <w:r>
        <w:t xml:space="preserve">in use, answer accuracy did not follow. In a pre-registered trial on a memoir, with no curated seed data, 24 cycles</w:t>
      </w:r>
      <w:r>
        <w:t xml:space="preserve"> </w:t>
      </w:r>
      <w:r>
        <w:t xml:space="preserve">left hybrid (passage + graph) retrieval unchanged: coverage of gold answer facts moved +0.010 (95% CI</w:t>
      </w:r>
      <w:r>
        <w:t xml:space="preserve"> </w:t>
      </w:r>
      <w:r>
        <w:t xml:space="preserve">−0.020 to +0.053). With the passages withheld, so that only the graph can answer, the same cycles</w:t>
      </w:r>
      <w:r>
        <w:t xml:space="preserve"> </w:t>
      </w:r>
      <w:r>
        <w:t xml:space="preserve">more than doubled coverage, from 14.0% to 32.3% (+0.183, CI +0.087 to +0.296), with most of the</w:t>
      </w:r>
      <w:r>
        <w:t xml:space="preserve"> </w:t>
      </w:r>
      <w:r>
        <w:t xml:space="preserve">gain in the first cycle. In this trial, consolidation transferred knowledge into the graph, but while the</w:t>
      </w:r>
      <w:r>
        <w:t xml:space="preserve"> </w:t>
      </w:r>
      <w:r>
        <w:t xml:space="preserve">passage index remained, hybrid retrieval did not show the gain; the graph alone reached 57% of hybrid</w:t>
      </w:r>
      <w:r>
        <w:t xml:space="preserve"> </w:t>
      </w:r>
      <w:r>
        <w:t xml:space="preserve">coverage.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retrieval-augmented generation, GraphRAG, memory consolidation, knowledge graphs,</w:t>
      </w:r>
      <w:r>
        <w:t xml:space="preserve"> </w:t>
      </w:r>
      <w:r>
        <w:t xml:space="preserve">evaluation</w:t>
      </w:r>
    </w:p>
    <w:bookmarkStart w:id="29" w:name="hypothesis"/>
    <w:p>
      <w:pPr>
        <w:pStyle w:val="Section"/>
      </w:pPr>
      <w:r>
        <w:t xml:space="preserve">Hypothesis</w:t>
      </w:r>
    </w:p>
    <w:p>
      <w:pPr/>
      <w:r>
        <w:t xml:space="preserve">Graph-based RAG adds an entity graph to a passage index so that retrieval can follow relationships</w:t>
      </w:r>
      <w:r>
        <w:t xml:space="preserve"> </w:t>
      </w:r>
      <w:r>
        <w:t xml:space="preserve">[Edge et al. 2024; Gutiérrez et al. 2024; Guo et al. 2025]. The graph is built once, at ingestion.</w:t>
      </w:r>
      <w:r>
        <w:t xml:space="preserve"> </w:t>
      </w:r>
      <w:r>
        <w:t xml:space="preserve">Biological memory works differently. In complementary learning systems [McClelland et al. 1995], a</w:t>
      </w:r>
      <w:r>
        <w:t xml:space="preserve"> </w:t>
      </w:r>
      <w:r>
        <w:t xml:space="preserve">fast episodic store (the hippocampus) is replayed offline into a slow structured one (the neocortex).</w:t>
      </w:r>
      <w:r>
        <w:t xml:space="preserve"> </w:t>
      </w:r>
      <w:r>
        <w:t xml:space="preserve">Once consolidation is complete, the fast store is no longer needed to recall what was consolidated.</w:t>
      </w:r>
      <w:r>
        <w:t xml:space="preserve"> </w:t>
      </w:r>
      <w:r>
        <w:t xml:space="preserve">The free-energy principle [Friston 2010] suggests what consolidation should optimize: explain the</w:t>
      </w:r>
      <w:r>
        <w:t xml:space="preserve"> </w:t>
      </w:r>
      <w:r>
        <w:t xml:space="preserve">same evidence with less model complexity. We use this as a design heuristic,</w:t>
      </w:r>
      <w:r>
        <w:t xml:space="preserve"> </w:t>
      </w:r>
      <w:r>
        <w:rPr>
          <w:i/>
          <w:iCs/>
        </w:rPr>
        <w:t xml:space="preserve">fact density</w:t>
      </w:r>
      <w:r>
        <w:t xml:space="preserve"> </w:t>
      </w:r>
      <w:r>
        <w:t xml:space="preserve">(the same</w:t>
      </w:r>
      <w:r>
        <w:t xml:space="preserve"> </w:t>
      </w:r>
      <w:r>
        <w:t xml:space="preserve">evidence held by fewer, more complete entities), not as a formal model.</w:t>
      </w:r>
    </w:p>
    <w:p>
      <w:pPr/>
      <w:r>
        <w:t xml:space="preserve">In RAG terms, the passage index is short-term memory and the graph is long-term memory. We test two</w:t>
      </w:r>
      <w:r>
        <w:t xml:space="preserve"> </w:t>
      </w:r>
      <w:r>
        <w:t xml:space="preserve">hypotheses:</w:t>
      </w:r>
    </w:p>
    <w:p>
      <w:pPr>
        <w:pStyle w:val="ListParagraph"/>
        <w:numPr>
          <w:ilvl w:val="0"/>
          <w:numId w:val="1001"/>
        </w:numPr>
      </w:pPr>
      <w:r>
        <w:rPr>
          <w:b/>
          <w:bCs/>
        </w:rPr>
        <w:t xml:space="preserve">H1 (transfer).</w:t>
      </w:r>
      <w:r>
        <w:t xml:space="preserve"> </w:t>
      </w:r>
      <w:r>
        <w:t xml:space="preserve">After consolidation, the graph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supports more of the facts needed to</w:t>
      </w:r>
      <w:r>
        <w:t xml:space="preserve"> </w:t>
      </w:r>
      <w:r>
        <w:t xml:space="preserve">answer questions about the corpus.</w:t>
      </w:r>
    </w:p>
    <w:p>
      <w:pPr>
        <w:pStyle w:val="ListParagraph"/>
        <w:numPr>
          <w:ilvl w:val="0"/>
          <w:numId w:val="1001"/>
        </w:numPr>
      </w:pPr>
      <w:r>
        <w:rPr>
          <w:b/>
          <w:bCs/>
        </w:rPr>
        <w:t xml:space="preserve">H2 (hybrid benefit).</w:t>
      </w:r>
      <w:r>
        <w:t xml:space="preserve"> </w:t>
      </w:r>
      <w:r>
        <w:t xml:space="preserve">Consolidation improves retrieval when the passage index remains available</w:t>
      </w:r>
      <w:r>
        <w:t xml:space="preserve"> </w:t>
      </w:r>
      <w:r>
        <w:t xml:space="preserve">alongside the graph.</w:t>
      </w:r>
    </w:p>
    <w:p>
      <w:pPr/>
      <w:r>
        <w:t xml:space="preserve">Most graph-RAG evaluations, including our own earlier ones, test only H2. If the passage index</w:t>
      </w:r>
      <w:r>
        <w:t xml:space="preserve"> </w:t>
      </w:r>
      <w:r>
        <w:t xml:space="preserve">already answers most questions, H2 can fail even when H1 holds.</w:t>
      </w:r>
    </w:p>
    <w:bookmarkEnd w:id="29"/>
    <w:bookmarkStart w:id="30" w:name="system"/>
    <w:p>
      <w:pPr>
        <w:pStyle w:val="Section"/>
      </w:pPr>
      <w:r>
        <w:t xml:space="preserve">System</w:t>
      </w:r>
    </w:p>
    <w:p>
      <w:pPr/>
      <w:r>
        <w:rPr>
          <w:b/>
          <w:bCs/>
        </w:rPr>
        <w:t xml:space="preserve">Ingestion.</w:t>
      </w:r>
      <w:r>
        <w:t xml:space="preserve"> </w:t>
      </w:r>
      <w:r>
        <w:t xml:space="preserve">Documents are split into passages of at most 800 characters, embedded and indexed for</w:t>
      </w:r>
      <w:r>
        <w:t xml:space="preserve"> </w:t>
      </w:r>
      <w:r>
        <w:t xml:space="preserve">BM25. llama3.1:8b extracts typed entities from each passage, with its neighbours as context. Relation</w:t>
      </w:r>
      <w:r>
        <w:t xml:space="preserve"> </w:t>
      </w:r>
      <w:r>
        <w:t xml:space="preserve">extraction is off at ingestion, because an 8B model extracted relations too imprecisely in earlier</w:t>
      </w:r>
      <w:r>
        <w:t xml:space="preserve"> </w:t>
      </w:r>
      <w:r>
        <w:t xml:space="preserve">experiments.</w:t>
      </w:r>
    </w:p>
    <w:p>
      <w:pPr/>
      <w:r>
        <w:rPr>
          <w:b/>
          <w:bCs/>
        </w:rPr>
        <w:t xml:space="preserve">The dream loop.</w:t>
      </w:r>
      <w:r>
        <w:t xml:space="preserve"> </w:t>
      </w:r>
      <w:r>
        <w:t xml:space="preserve">Each cycle scores every entity for completeness, which averages three parts: its</w:t>
      </w:r>
      <w:r>
        <w:t xml:space="preserve"> </w:t>
      </w:r>
      <w:r>
        <w:t xml:space="preserve">type (untyped, generic or specific), how many of its type’s expected fields and how much description</w:t>
      </w:r>
      <w:r>
        <w:t xml:space="preserve"> </w:t>
      </w:r>
      <w:r>
        <w:t xml:space="preserve">it has, and how many of its type’s expected relations are present. The cycle then asks the model,</w:t>
      </w:r>
      <w:r>
        <w:t xml:space="preserve"> </w:t>
      </w:r>
      <w:r>
        <w:t xml:space="preserve">given only an entity’s own evidence passages, for its missing fields and description, and optionally</w:t>
      </w:r>
      <w:r>
        <w:t xml:space="preserve"> </w:t>
      </w:r>
      <w:r>
        <w:t xml:space="preserve">for relations to entities that already exist; keeps prose descriptions and refreshes a one-line field</w:t>
      </w:r>
      <w:r>
        <w:t xml:space="preserve"> </w:t>
      </w:r>
      <w:r>
        <w:t xml:space="preserve">summary; merges duplicates by name, string similarity and embedding; and prunes isolated, unevidenced</w:t>
      </w:r>
      <w:r>
        <w:t xml:space="preserve"> </w:t>
      </w:r>
      <w:r>
        <w:t xml:space="preserve">entities.</w:t>
      </w:r>
    </w:p>
    <w:p>
      <w:pPr/>
      <w:r>
        <w:rPr>
          <w:b/>
          <w:bCs/>
        </w:rPr>
        <w:t xml:space="preserve">Retrieval.</w:t>
      </w:r>
      <w:r>
        <w:t xml:space="preserve"> </w:t>
      </w:r>
      <w:r>
        <w:rPr>
          <w:i/>
          <w:iCs/>
        </w:rPr>
        <w:t xml:space="preserve">Hybrid</w:t>
      </w:r>
      <w:r>
        <w:t xml:space="preserve"> </w:t>
      </w:r>
      <w:r>
        <w:t xml:space="preserve">retrieval fuses BM25 and dense rankings by reciprocal rank [Cormack et al.</w:t>
      </w:r>
      <w:r>
        <w:t xml:space="preserve"> </w:t>
      </w:r>
      <w:r>
        <w:t xml:space="preserve">2009] with the passages of graph entities within two hops of the query’s entities, and adds up to</w:t>
      </w:r>
      <w:r>
        <w:t xml:space="preserve"> </w:t>
      </w:r>
      <w:r>
        <w:t xml:space="preserve">two further rounds when query terms are uncovered.</w:t>
      </w:r>
      <w:r>
        <w:t xml:space="preserve"> </w:t>
      </w:r>
      <w:r>
        <w:rPr>
          <w:i/>
          <w:iCs/>
        </w:rPr>
        <w:t xml:space="preserve">Graph-only</w:t>
      </w:r>
      <w:r>
        <w:t xml:space="preserve"> </w:t>
      </w:r>
      <w:r>
        <w:t xml:space="preserve">retrieval returns up to 20 entity</w:t>
      </w:r>
      <w:r>
        <w:t xml:space="preserve"> </w:t>
      </w:r>
      <w:r>
        <w:t xml:space="preserve">cards (name, aliases, every relation, fields and description) and no passage text. The cards come</w:t>
      </w:r>
      <w:r>
        <w:t xml:space="preserve"> </w:t>
      </w:r>
      <w:r>
        <w:t xml:space="preserve">from the entities matching the query, then their neighbours, then the nearest entities by embedding.</w:t>
      </w:r>
      <w:r>
        <w:t xml:space="preserve"> </w:t>
      </w:r>
      <w:r>
        <w:t xml:space="preserve">Before the trial we fixed three defects that made hybrid retrieval non-deterministic or let graph</w:t>
      </w:r>
      <w:r>
        <w:t xml:space="preserve"> </w:t>
      </w:r>
      <w:r>
        <w:t xml:space="preserve">traversal flood the prompt. With the fixes, repeated hybrid runs on the same graph give identical</w:t>
      </w:r>
      <w:r>
        <w:t xml:space="preserve"> </w:t>
      </w:r>
      <w:r>
        <w:t xml:space="preserve">prompts; graph-only runs return the same cards, though field lines within a card may reorder.</w:t>
      </w:r>
    </w:p>
    <w:bookmarkEnd w:id="30"/>
    <w:bookmarkStart w:id="33" w:name="experimental-setup"/>
    <w:p>
      <w:pPr>
        <w:pStyle w:val="Section"/>
      </w:pPr>
      <w:r>
        <w:t xml:space="preserve">Experimental setup</w:t>
      </w:r>
    </w:p>
    <w:bookmarkStart w:id="31" w:name="consolidation-across-corpora"/>
    <w:p>
      <w:pPr>
        <w:pStyle w:val="Subsection"/>
      </w:pPr>
      <w:r>
        <w:t xml:space="preserve">Consolidation across corpora</w:t>
      </w:r>
    </w:p>
    <w:p>
      <w:pPr/>
      <w:r>
        <w:t xml:space="preserve">Twelve English corpora of 773–15,018 passages (historical narrative, legal opinions, meeting</w:t>
      </w:r>
      <w:r>
        <w:t xml:space="preserve"> </w:t>
      </w:r>
      <w:r>
        <w:t xml:space="preserve">transcripts, technical documentation, scientific papers, fiction) were each consolidated for three to</w:t>
      </w:r>
      <w:r>
        <w:t xml:space="preserve"> </w:t>
      </w:r>
      <w:r>
        <w:t xml:space="preserve">five cycles. Eleven of them (48,214 passages in all) have 20 questions each with gold keywords; answer</w:t>
      </w:r>
      <w:r>
        <w:t xml:space="preserve"> </w:t>
      </w:r>
      <w:r>
        <w:t xml:space="preserve">recall is the fraction of gold keywords that appear in the generated answer.</w:t>
      </w:r>
    </w:p>
    <w:bookmarkEnd w:id="31"/>
    <w:bookmarkStart w:id="32" w:name="a-pre-registered-consolidation-trial"/>
    <w:p>
      <w:pPr>
        <w:pStyle w:val="Subsection"/>
      </w:pPr>
      <w:r>
        <w:t xml:space="preserve">A pre-registered consolidation trial</w:t>
      </w:r>
    </w:p>
    <w:p>
      <w:pPr/>
      <w:r>
        <w:rPr>
          <w:b/>
          <w:bCs/>
        </w:rPr>
        <w:t xml:space="preserve">Corpus.</w:t>
      </w:r>
      <w:r>
        <w:t xml:space="preserve"> </w:t>
      </w:r>
      <w:r>
        <w:t xml:space="preserve">A 1,152-passage single-author memoir. Its graph is built from the first 10% (116</w:t>
      </w:r>
      <w:r>
        <w:t xml:space="preserve"> </w:t>
      </w:r>
      <w:r>
        <w:t xml:space="preserve">passages, in reading order) with</w:t>
      </w:r>
      <w:r>
        <w:t xml:space="preserve"> </w:t>
      </w:r>
      <w:r>
        <w:rPr>
          <w:i/>
          <w:iCs/>
        </w:rPr>
        <w:t xml:space="preserve">no curated seed data</w:t>
      </w:r>
      <w:r>
        <w:t xml:space="preserve">. Our earlier memoir graphs were seeded with a</w:t>
      </w:r>
      <w:r>
        <w:t xml:space="preserve"> </w:t>
      </w:r>
      <w:r>
        <w:t xml:space="preserve">hand-written family tree and descriptions that state some answers outright. Search in the hybrid</w:t>
      </w:r>
      <w:r>
        <w:t xml:space="preserve"> </w:t>
      </w:r>
      <w:r>
        <w:t xml:space="preserve">mode still covers all 1,152 passages.</w:t>
      </w:r>
    </w:p>
    <w:p>
      <w:pPr/>
      <w:r>
        <w:rPr>
          <w:b/>
          <w:bCs/>
        </w:rPr>
        <w:t xml:space="preserve">Arms.</w:t>
      </w:r>
      <w:r>
        <w:t xml:space="preserve"> </w:t>
      </w:r>
      <w:r>
        <w:t xml:space="preserve">From the same cycle-0 graph, arm A dreams on descriptions and types only, and arm B also</w:t>
      </w:r>
      <w:r>
        <w:t xml:space="preserve"> </w:t>
      </w:r>
      <w:r>
        <w:t xml:space="preserve">completes relations. Each arm runs 24 cycles of up to 200 model calls. All inference runs locally on</w:t>
      </w:r>
      <w:r>
        <w:t xml:space="preserve"> </w:t>
      </w:r>
      <w:r>
        <w:t xml:space="preserve">llama3.1:8b.</w:t>
      </w:r>
    </w:p>
    <w:p>
      <w:pPr/>
      <w:r>
        <w:rPr>
          <w:b/>
          <w:bCs/>
        </w:rPr>
        <w:t xml:space="preserve">Gold.</w:t>
      </w:r>
      <w:r>
        <w:t xml:space="preserve"> </w:t>
      </w:r>
      <w:r>
        <w:t xml:space="preserve">We use the 31 questions whose authored answers have at least one fact supported in the</w:t>
      </w:r>
      <w:r>
        <w:t xml:space="preserve"> </w:t>
      </w:r>
      <w:r>
        <w:t xml:space="preserve">slice. These give 108</w:t>
      </w:r>
      <w:r>
        <w:t xml:space="preserve"> </w:t>
      </w:r>
      <w:r>
        <w:rPr>
          <w:i/>
          <w:iCs/>
        </w:rPr>
        <w:t xml:space="preserve">nuggets</w:t>
      </w:r>
      <w:r>
        <w:t xml:space="preserve"> </w:t>
      </w:r>
      <w:r>
        <w:t xml:space="preserve">(atomic facts). 53 nuggets were verified by NLI entailment of at</w:t>
      </w:r>
      <w:r>
        <w:t xml:space="preserve"> </w:t>
      </w:r>
      <w:r>
        <w:t xml:space="preserve">least 0.9 against a passage. The other 55 were adjudicated by the local model and confirmed by the author.</w:t>
      </w:r>
    </w:p>
    <w:p>
      <w:pPr/>
      <w:r>
        <w:rPr>
          <w:b/>
          <w:bCs/>
        </w:rPr>
        <w:t xml:space="preserve">Measures.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(primary) is the fraction of a question’s nuggets entailed (NLI ≥ 0.5,</w:t>
      </w:r>
      <w:r>
        <w:t xml:space="preserve"> </w:t>
      </w:r>
      <w:r>
        <w:t xml:space="preserve">DeBERTa-v3-large) by at least one retrieved passage or card; it scores retrieval, independently of the</w:t>
      </w:r>
      <w:r>
        <w:t xml:space="preserve"> </w:t>
      </w:r>
      <w:r>
        <w:t xml:space="preserve">generated answer.</w:t>
      </w:r>
      <w:r>
        <w:t xml:space="preserve"> </w:t>
      </w:r>
      <w:r>
        <w:rPr>
          <w:i/>
          <w:iCs/>
        </w:rPr>
        <w:t xml:space="preserve">Answer recall</w:t>
      </w:r>
      <w:r>
        <w:t xml:space="preserve"> </w:t>
      </w:r>
      <w:r>
        <w:t xml:space="preserve">applies the same test to the answer. Changes are paired per question against cycle 0, with 95% bootstrap intervals (5,000 resamples).</w:t>
      </w:r>
      <w:r>
        <w:t xml:space="preserve"> </w:t>
      </w:r>
      <w:r>
        <w:t xml:space="preserve">Evaluations run at cycles 0, 1, 2, 4, 8, 12, 16, 20 and 24 for hybrid retrieval, and at 0, 1, 4, 12</w:t>
      </w:r>
      <w:r>
        <w:t xml:space="preserve"> </w:t>
      </w:r>
      <w:r>
        <w:t xml:space="preserve">and 24 for graph-only retrieval, with repeats at cycles 0 and 24.</w:t>
      </w:r>
    </w:p>
    <w:p>
      <w:pPr/>
      <w:r>
        <w:rPr>
          <w:b/>
          <w:bCs/>
        </w:rPr>
        <w:t xml:space="preserve">Pre-registration.</w:t>
      </w:r>
      <w:r>
        <w:t xml:space="preserve"> </w:t>
      </w:r>
      <w:r>
        <w:t xml:space="preserve">A test counts as passed if arm B’s change in coverage from cycle 0 to cycle 24</w:t>
      </w:r>
      <w:r>
        <w:t xml:space="preserve"> </w:t>
      </w:r>
      <w:r>
        <w:t xml:space="preserve">has a 95% interval above zero and exceeds the cycle-0 retest spread. We registered this for H2 before the trial</w:t>
      </w:r>
      <w:r>
        <w:t xml:space="preserve"> </w:t>
      </w:r>
      <w:r>
        <w:t xml:space="preserve">started, and for H1 after the hybrid result but before any graph-only evaluation.</w:t>
      </w:r>
    </w:p>
    <w:bookmarkEnd w:id="32"/>
    <w:bookmarkEnd w:id="33"/>
    <w:bookmarkStart w:id="37" w:name="preliminary-results"/>
    <w:p>
      <w:pPr>
        <w:pStyle w:val="Section"/>
      </w:pPr>
      <w:r>
        <w:t xml:space="preserve">Preliminary results</w:t>
      </w:r>
    </w:p>
    <w:p>
      <w:pPr/>
      <w:r>
        <w:rPr>
          <w:b/>
          <w:bCs/>
        </w:rPr>
        <w:t xml:space="preserve">4.1 Across corpora, structure improves but hybrid accuracy does not</w:t>
      </w:r>
      <w:r>
        <w:t xml:space="preserve"> </w:t>
      </w:r>
      <w:r>
        <w:t xml:space="preserve">(H2; measured before the</w:t>
      </w:r>
      <w:r>
        <w:t xml:space="preserve"> </w:t>
      </w:r>
      <w:r>
        <w:t xml:space="preserve">defect fixes in §2). Three to five cycles on twelve corpora cut entity counts</w:t>
      </w:r>
      <w:r>
        <w:t xml:space="preserve"> </w:t>
      </w:r>
      <w:r>
        <w:t xml:space="preserve">by 7.4–26.0% (median 14.8%) and raised mean completeness on eleven; 92–100% of each reduction came</w:t>
      </w:r>
      <w:r>
        <w:t xml:space="preserve"> </w:t>
      </w:r>
      <w:r>
        <w:t xml:space="preserve">from merging duplicates in the first cycle. Accuracy did not follow. On a seeded build of the memoir,</w:t>
      </w:r>
      <w:r>
        <w:t xml:space="preserve"> </w:t>
      </w:r>
      <w:r>
        <w:t xml:space="preserve">completeness rose from 51.5% to 78.1% over 31 cycles, while answer recall stayed at 54.1 ± 3.4%</w:t>
      </w:r>
      <w:r>
        <w:t xml:space="preserve"> </w:t>
      </w:r>
      <w:r>
        <w:t xml:space="preserve">(Spearman ρ = 0.17, n = 11). Across fifteen corpora, completeness did not predict answer recall</w:t>
      </w:r>
      <w:r>
        <w:t xml:space="preserve"> </w:t>
      </w:r>
      <w:r>
        <w:t xml:space="preserve">(ρ = 0.28).</w:t>
      </w:r>
    </w:p>
    <w:p>
      <w:pPr/>
      <w:r>
        <w:rPr>
          <w:b/>
          <w:bCs/>
        </w:rPr>
        <w:t xml:space="preserve">4.2 Hybrid retrieval does not benefit</w:t>
      </w:r>
      <w:r>
        <w:t xml:space="preserve"> </w:t>
      </w:r>
      <w:r>
        <w:t xml:space="preserve">(H2, trial; Table 1, Figure 1a). Arm B grew from 0 to 497</w:t>
      </w:r>
      <w:r>
        <w:t xml:space="preserve"> </w:t>
      </w:r>
      <w:r>
        <w:t xml:space="preserve">relations, and its completeness rose from 42.2% to 75.4%. Hybrid coverage barely moved: +0.010 for</w:t>
      </w:r>
      <w:r>
        <w:t xml:space="preserve"> </w:t>
      </w:r>
      <w:r>
        <w:t xml:space="preserve">arm B (CI −0.020 to +0.053) and +0.021 for arm A (CI 0.000 to +0.048). The pre-registered test</w:t>
      </w:r>
      <w:r>
        <w:t xml:space="preserve"> </w:t>
      </w:r>
      <w:r>
        <w:t xml:space="preserve">fails. Arm B’s graph did change the prompt once, at cycle 1, bringing about two more slice passages</w:t>
      </w:r>
      <w:r>
        <w:t xml:space="preserve"> </w:t>
      </w:r>
      <w:r>
        <w:t xml:space="preserve">per question. After that the prompts stopped changing, although relations kept growing. Single-pass</w:t>
      </w:r>
      <w:r>
        <w:t xml:space="preserve"> </w:t>
      </w:r>
      <w:r>
        <w:t xml:space="preserve">passage retrieval with no graph (BM25 + dense) reached 52.8%, so the passage index already carried</w:t>
      </w:r>
      <w:r>
        <w:t xml:space="preserve"> </w:t>
      </w:r>
      <w:r>
        <w:t xml:space="preserve">most of the answerable facts.</w:t>
      </w:r>
    </w:p>
    <w:p>
      <w:pPr/>
      <w:r>
        <w:rPr>
          <w:b/>
          <w:bCs/>
        </w:rPr>
        <w:t xml:space="preserve">4.3 The graph alone improves</w:t>
      </w:r>
      <w:r>
        <w:t xml:space="preserve"> </w:t>
      </w:r>
      <w:r>
        <w:t xml:space="preserve">(H1; Table 1, Figure 1b). With passages withheld, cycle-0 cards</w:t>
      </w:r>
      <w:r>
        <w:t xml:space="preserve"> </w:t>
      </w:r>
      <w:r>
        <w:t xml:space="preserve">covered 14.0% of nuggets; the retest spread was 0.65 points. Consolidation raised this to 32.3% in</w:t>
      </w:r>
      <w:r>
        <w:t xml:space="preserve"> </w:t>
      </w:r>
      <w:r>
        <w:t xml:space="preserve">arm B (+0.183, CI +0.087 to +0.296) and 31.0% in arm A (+0.170, CI +0.077 to +0.281). The</w:t>
      </w:r>
      <w:r>
        <w:t xml:space="preserve"> </w:t>
      </w:r>
      <w:r>
        <w:t xml:space="preserve">pre-registered test passes. Most of the gain arrives in the first cycle (arm B 33.2%, arm A 25.7%;</w:t>
      </w:r>
      <w:r>
        <w:t xml:space="preserve"> </w:t>
      </w:r>
      <w:r>
        <w:t xml:space="preserve">one run each). By cycle 24 the arms were indistinguishable (B − A = +0.013, CI −0.078 to +0.089), so</w:t>
      </w:r>
      <w:r>
        <w:t xml:space="preserve"> </w:t>
      </w:r>
      <w:r>
        <w:t xml:space="preserve">this trial cannot separate relation completion from better descriptions. Answer recall from</w:t>
      </w:r>
      <w:r>
        <w:t xml:space="preserve"> </w:t>
      </w:r>
      <w:r>
        <w:t xml:space="preserve">graph-only context showed no detectable change (arm B 14.4% → 18.8%, within the 7.2-point cycle-0</w:t>
      </w:r>
      <w:r>
        <w:t xml:space="preserve"> </w:t>
      </w:r>
      <w:r>
        <w:t xml:space="preserve">retest spread).</w:t>
      </w:r>
    </w:p>
    <w:p>
      <w:pPr>
        <w:pStyle w:val="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Consolidation trial: coverage of gold nuggets (31 questions, 108 nuggets). Δ is the</w:t>
      </w:r>
      <w:r>
        <w:t xml:space="preserve"> </w:t>
      </w:r>
      <w:r>
        <w:t xml:space="preserve">paired change from cycle 0 with a 95% bootstrap interval.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Tabletext"/>
            </w:pPr>
            <w:r>
              <w:t xml:space="preserve">Retrieval</w:t>
            </w:r>
          </w:p>
        </w:tc>
        <w:tc>
          <w:tcPr/>
          <w:p>
            <w:pPr>
              <w:pStyle w:val="Tabletext"/>
            </w:pPr>
            <w:r>
              <w:t xml:space="preserve">Cycle 0</w:t>
            </w:r>
          </w:p>
        </w:tc>
        <w:tc>
          <w:tcPr/>
          <w:p>
            <w:pPr>
              <w:pStyle w:val="Tabletext"/>
            </w:pPr>
            <w:r>
              <w:t xml:space="preserve">A, cycle 24</w:t>
            </w:r>
          </w:p>
        </w:tc>
        <w:tc>
          <w:tcPr/>
          <w:p>
            <w:pPr>
              <w:pStyle w:val="Tabletext"/>
            </w:pPr>
            <w:r>
              <w:t xml:space="preserve">B, cycle 24</w:t>
            </w:r>
          </w:p>
        </w:tc>
        <w:tc>
          <w:tcPr/>
          <w:p>
            <w:pPr>
              <w:pStyle w:val="Tabletext"/>
            </w:pPr>
            <w:r>
              <w:t xml:space="preserve">B: Δ (95% CI)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Hybrid</w:t>
            </w:r>
          </w:p>
        </w:tc>
        <w:tc>
          <w:tcPr/>
          <w:p>
            <w:pPr>
              <w:pStyle w:val="Tabletext"/>
            </w:pPr>
            <w:r>
              <w:t xml:space="preserve">56.4%</w:t>
            </w:r>
          </w:p>
        </w:tc>
        <w:tc>
          <w:tcPr/>
          <w:p>
            <w:pPr>
              <w:pStyle w:val="Tabletext"/>
            </w:pPr>
            <w:r>
              <w:t xml:space="preserve">58.5%</w:t>
            </w:r>
          </w:p>
        </w:tc>
        <w:tc>
          <w:tcPr/>
          <w:p>
            <w:pPr>
              <w:pStyle w:val="Tabletext"/>
            </w:pPr>
            <w:r>
              <w:t xml:space="preserve">57.5%</w:t>
            </w:r>
          </w:p>
        </w:tc>
        <w:tc>
          <w:tcPr/>
          <w:p>
            <w:pPr>
              <w:pStyle w:val="Tabletext"/>
            </w:pPr>
            <w:r>
              <w:t xml:space="preserve">+1.0 (−2.0, +5.3)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Graph only</w:t>
            </w:r>
          </w:p>
        </w:tc>
        <w:tc>
          <w:tcPr/>
          <w:p>
            <w:pPr>
              <w:pStyle w:val="Tabletext"/>
            </w:pPr>
            <w:r>
              <w:t xml:space="preserve">14.0%</w:t>
            </w:r>
          </w:p>
        </w:tc>
        <w:tc>
          <w:tcPr/>
          <w:p>
            <w:pPr>
              <w:pStyle w:val="Tabletext"/>
            </w:pPr>
            <w:r>
              <w:t xml:space="preserve">31.0%</w:t>
            </w:r>
          </w:p>
        </w:tc>
        <w:tc>
          <w:tcPr/>
          <w:p>
            <w:pPr>
              <w:pStyle w:val="Tabletext"/>
            </w:pPr>
            <w:r>
              <w:t xml:space="preserve">32.3%</w:t>
            </w:r>
          </w:p>
        </w:tc>
        <w:tc>
          <w:tcPr/>
          <w:p>
            <w:pPr>
              <w:pStyle w:val="Tabletext"/>
            </w:pPr>
            <w:r>
              <w:t xml:space="preserve">+18.3 (+8.7, +29.6)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Passages only, single pass</w:t>
            </w:r>
          </w:p>
        </w:tc>
        <w:tc>
          <w:tcPr/>
          <w:p>
            <w:pPr>
              <w:pStyle w:val="Tabletext"/>
            </w:pPr>
            <w:r>
              <w:t xml:space="preserve">52.8%</w:t>
            </w:r>
          </w:p>
        </w:tc>
        <w:tc>
          <w:tcPr/>
          <w:p>
            <w:pPr>
              <w:pStyle w:val="Tabletext"/>
            </w:pPr>
            <w:r>
              <w:t xml:space="preserve">—</w:t>
            </w:r>
          </w:p>
        </w:tc>
        <w:tc>
          <w:tcPr/>
          <w:p>
            <w:pPr>
              <w:pStyle w:val="Tabletext"/>
            </w:pPr>
            <w:r>
              <w:t xml:space="preserve">—</w:t>
            </w:r>
          </w:p>
        </w:tc>
        <w:tc>
          <w:tcPr/>
          <w:p>
            <w:pPr>
              <w:pStyle w:val="Tabletext"/>
            </w:pPr>
            <w:r>
              <w:t xml:space="preserve">—</w:t>
            </w:r>
          </w:p>
        </w:tc>
      </w:tr>
    </w:tbl>
    <w:p>
      <w:pPr>
        <w:ind w:firstLine="0"/>
        <w:jc w:val="center"/>
      </w:pPr>
      <w:r>
        <w:drawing>
          <wp:inline>
            <wp:extent cx="4584232" cy="1905254"/>
            <wp:effectExtent b="0" l="0" r="0" t="0"/>
            <wp:docPr descr="Figure 1. Coverage of gold nuggets across dream cycles for the two arms: (a) with the passage index available; (b) from the graph alone, with passages withheld." title="" id="35" name="Picture"/>
            <a:graphic>
              <a:graphicData uri="http://schemas.openxmlformats.org/drawingml/2006/picture">
                <pic:pic>
                  <pic:nvPicPr>
                    <pic:cNvPr descr="figures/short3_consolidation_tria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32" cy="190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Coverage of gold nuggets across dream cycles for the two arms: (a) with the passage</w:t>
      </w:r>
      <w:r>
        <w:t xml:space="preserve"> </w:t>
      </w:r>
      <w:r>
        <w:t xml:space="preserve">index available; (b) from the graph alone, with passages withheld.</w:t>
      </w:r>
    </w:p>
    <w:bookmarkEnd w:id="37"/>
    <w:bookmarkStart w:id="38" w:name="discussion-and-next-steps"/>
    <w:p>
      <w:pPr>
        <w:pStyle w:val="Section"/>
      </w:pPr>
      <w:r>
        <w:t xml:space="preserve">Discussion and next steps</w:t>
      </w:r>
    </w:p>
    <w:p>
      <w:pPr/>
      <w:r>
        <w:t xml:space="preserve">In this trial, H1 holds and H2 does not. Consolidation moved answerable knowledge into the graph, and</w:t>
      </w:r>
      <w:r>
        <w:t xml:space="preserve"> </w:t>
      </w:r>
      <w:r>
        <w:t xml:space="preserve">the move was fast. But while the passage index remains, it already supplies most of what the graph learns, so</w:t>
      </w:r>
      <w:r>
        <w:t xml:space="preserve"> </w:t>
      </w:r>
      <w:r>
        <w:t xml:space="preserve">the hybrid system gains almost nothing. This is consistent with our multi-corpus results, and it</w:t>
      </w:r>
      <w:r>
        <w:t xml:space="preserve"> </w:t>
      </w:r>
      <w:r>
        <w:t xml:space="preserve">suggests that graph-RAG evaluations should test the graph alone as well as the hybrid. Since the transfer is still only half complete</w:t>
      </w:r>
      <w:r>
        <w:t xml:space="preserve"> </w:t>
      </w:r>
      <w:r>
        <w:t xml:space="preserve">(32% against 56% coverage), the passage index cannot yet be released.</w:t>
      </w:r>
    </w:p>
    <w:p>
      <w:pPr/>
      <w:r>
        <w:rPr>
          <w:b/>
          <w:bCs/>
        </w:rPr>
        <w:t xml:space="preserve">Next steps.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Scale and breadth:</w:t>
      </w:r>
      <w:r>
        <w:t xml:space="preserve"> </w:t>
      </w:r>
      <w:r>
        <w:t xml:space="preserve">repeat the trial on the whole memoir and the eleven other</w:t>
      </w:r>
      <w:r>
        <w:t xml:space="preserve"> </w:t>
      </w:r>
      <w:r>
        <w:t xml:space="preserve">corpora, with more runs per checkpoint. (2)</w:t>
      </w:r>
      <w:r>
        <w:t xml:space="preserve"> </w:t>
      </w:r>
      <w:r>
        <w:rPr>
          <w:i/>
          <w:iCs/>
        </w:rPr>
        <w:t xml:space="preserve">Entity resolution without curation:</w:t>
      </w:r>
      <w:r>
        <w:t xml:space="preserve"> </w:t>
      </w:r>
      <w:r>
        <w:t xml:space="preserve">without seed data</w:t>
      </w:r>
      <w:r>
        <w:t xml:space="preserve"> </w:t>
      </w:r>
      <w:r>
        <w:t xml:space="preserve">one person appears as several entities; we will measure how merging during dreaming affects graph-only</w:t>
      </w:r>
      <w:r>
        <w:t xml:space="preserve"> </w:t>
      </w:r>
      <w:r>
        <w:t xml:space="preserve">coverage. (3)</w:t>
      </w:r>
      <w:r>
        <w:t xml:space="preserve"> </w:t>
      </w:r>
      <w:r>
        <w:rPr>
          <w:i/>
          <w:iCs/>
        </w:rPr>
        <w:t xml:space="preserve">From facts to answers:</w:t>
      </w:r>
      <w:r>
        <w:t xml:space="preserve"> </w:t>
      </w:r>
      <w:r>
        <w:t xml:space="preserve">answer recall rose less than coverage; we will test whether</w:t>
      </w:r>
      <w:r>
        <w:t xml:space="preserve"> </w:t>
      </w:r>
      <w:r>
        <w:t xml:space="preserve">deduplicated, relevance-ordered cards let an 8B model use what it retrieves. (4)</w:t>
      </w:r>
      <w:r>
        <w:t xml:space="preserve"> </w:t>
      </w:r>
      <w:r>
        <w:rPr>
          <w:i/>
          <w:iCs/>
        </w:rPr>
        <w:t xml:space="preserve">Forgetting:</w:t>
      </w:r>
      <w:r>
        <w:t xml:space="preserve"> </w:t>
      </w:r>
      <w:r>
        <w:t xml:space="preserve">as graph</w:t>
      </w:r>
      <w:r>
        <w:t xml:space="preserve"> </w:t>
      </w:r>
      <w:r>
        <w:t xml:space="preserve">coverage approaches the passage store’s, evict passages progressively and measure what is lost,</w:t>
      </w:r>
      <w:r>
        <w:t xml:space="preserve"> </w:t>
      </w:r>
      <w:r>
        <w:t xml:space="preserve">making short-term memory capacity-limited as the analogy requires. (5)</w:t>
      </w:r>
      <w:r>
        <w:t xml:space="preserve"> </w:t>
      </w:r>
      <w:r>
        <w:rPr>
          <w:i/>
          <w:iCs/>
        </w:rPr>
        <w:t xml:space="preserve">Instrument:</w:t>
      </w:r>
      <w:r>
        <w:t xml:space="preserve"> </w:t>
      </w:r>
      <w:r>
        <w:t xml:space="preserve">NLI coverage</w:t>
      </w:r>
      <w:r>
        <w:t xml:space="preserve"> </w:t>
      </w:r>
      <w:r>
        <w:t xml:space="preserve">misses some adjudicated facts that are in the prompt; we will add judged relevance on public corpora,</w:t>
      </w:r>
      <w:r>
        <w:t xml:space="preserve"> </w:t>
      </w:r>
      <w:r>
        <w:t xml:space="preserve">with static-RAG and GraphRAG baselines.</w:t>
      </w:r>
    </w:p>
    <w:p>
      <w:pPr/>
      <w:r>
        <w:t xml:space="preserve">Limitations: one corpus for the trial, and 10% of it; one run per checkpoint, with repeats only at</w:t>
      </w:r>
      <w:r>
        <w:t xml:space="preserve"> </w:t>
      </w:r>
      <w:r>
        <w:t xml:space="preserve">the ends; a single 8B model for extraction, dreaming, generation and adjudication; English only.</w:t>
      </w:r>
    </w:p>
    <w:p>
      <w:pPr>
        <w:pStyle w:val="References"/>
      </w:pPr>
      <w:r>
        <w:t xml:space="preserve">References</w:t>
      </w:r>
    </w:p>
    <w:p>
      <w:pPr>
        <w:pStyle w:val="Bibliography"/>
      </w:pPr>
      <w:r>
        <w:t xml:space="preserve">Cormack, G. V., Clarke, C. L. A., Büttcher, S. 2009. Reciprocal rank fusion outperforms Condorcet and individual rank learning methods. In Proc. SIGIR ’09, 758–759.</w:t>
      </w:r>
    </w:p>
    <w:p>
      <w:pPr>
        <w:pStyle w:val="Bibliography"/>
      </w:pPr>
      <w:r>
        <w:t xml:space="preserve">Edge, D., et al. 2024. From local to global: A graph RAG approach to query-focused summarization. arXiv:2404.16130.</w:t>
      </w:r>
    </w:p>
    <w:p>
      <w:pPr>
        <w:pStyle w:val="Bibliography"/>
      </w:pPr>
      <w:r>
        <w:t xml:space="preserve">Friston, K. 2010. The free-energy principle: a unified brain theory? Nat. Rev. Neurosci. 11, 127–138.</w:t>
      </w:r>
    </w:p>
    <w:p>
      <w:pPr>
        <w:pStyle w:val="Bibliography"/>
      </w:pPr>
      <w:r>
        <w:t xml:space="preserve">Guo, Z., et al. 2025. LightRAG: Simple and fast retrieval-augmented generation. In Findings of EMNLP 2025, 10746–10761.</w:t>
      </w:r>
    </w:p>
    <w:p>
      <w:pPr>
        <w:pStyle w:val="Bibliography"/>
      </w:pPr>
      <w:r>
        <w:t xml:space="preserve">Gutiérrez, B. J., et al. 2024. HippoRAG: Neurobiologically inspired long-term memory for large language models. In NeurIPS 2024.</w:t>
      </w:r>
    </w:p>
    <w:p>
      <w:pPr>
        <w:pStyle w:val="Bibliography"/>
      </w:pPr>
      <w:r>
        <w:t xml:space="preserve">McClelland, J. L., McNaughton, B. L., O’Reilly, R. C. 1995. Why there are complementary learning systems in the hippocampus and neocortex: Insights from the successes and failures of connectionist models of learning and memory. Psychol. Rev. 102(3), 419–457.</w:t>
      </w:r>
    </w:p>
    <w:bookmarkEnd w:id="38"/>
    <w:sectPr w:rsidR="00865CD8" w:rsidRPr="006229A5" w:rsidSect="00E91F75">
      <w:footnotePr>
        <w:numFmt w:val="chicago"/>
      </w:footnotePr>
      <w:pgSz w:h="15840" w:w="12240"/>
      <w:pgMar w:bottom="2132" w:footer="0" w:gutter="0" w:header="0" w:left="2019" w:right="2019" w:top="2132"/>
      <w:cols w:space="708"/>
      <w:docGrid w:linePitch="272"/>
      <w:printerSettings r:id="rId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font250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1D"/>
    <w:multiLevelType w:val="multilevel"/>
    <w:tmpl w:val="DA103A1A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:abstractNumId="1">
    <w:nsid w:val="FFFFFF7D"/>
    <w:multiLevelType w:val="singleLevel"/>
    <w:tmpl w:val="1E923898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0E05FA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12C8F8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0"/>
    <w:multiLevelType w:val="singleLevel"/>
    <w:tmpl w:val="4C86042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9DECE2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D00678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BC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8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00000002">
      <w:start w:val="1"/>
      <w:numFmt w:val="decimal"/>
      <w:lvlText w:val="%2."/>
      <w:lvlJc w:val="left"/>
      <w:pPr>
        <w:ind w:hanging="360" w:left="144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B0C0849"/>
    <w:multiLevelType w:val="hybridMultilevel"/>
    <w:tmpl w:val="F572B2E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19E648C3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1">
    <w:nsid w:val="1EB70EC2"/>
    <w:multiLevelType w:val="multilevel"/>
    <w:tmpl w:val="1A44291A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2">
    <w:nsid w:val="23C91FFD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3">
    <w:nsid w:val="258217BA"/>
    <w:multiLevelType w:val="multilevel"/>
    <w:tmpl w:val="6942A968"/>
    <w:lvl w:ilvl="0">
      <w:start w:val="1"/>
      <w:numFmt w:val="decimal"/>
      <w:pStyle w:val="Section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Subsection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4">
    <w:nsid w:val="27801C72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5">
    <w:nsid w:val="3A116F78"/>
    <w:multiLevelType w:val="multilevel"/>
    <w:tmpl w:val="F0E2C39C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6">
    <w:nsid w:val="420033E8"/>
    <w:multiLevelType w:val="multilevel"/>
    <w:tmpl w:val="ECF4F64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7">
    <w:nsid w:val="4894133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:abstractNumId="18">
    <w:nsid w:val="4CAD4A0F"/>
    <w:multiLevelType w:val="multilevel"/>
    <w:tmpl w:val="71207BE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9">
    <w:nsid w:val="563A2BF0"/>
    <w:multiLevelType w:val="multilevel"/>
    <w:tmpl w:val="E8269AA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0">
    <w:nsid w:val="5E3F5100"/>
    <w:multiLevelType w:val="multilevel"/>
    <w:tmpl w:val="9FACF9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1">
    <w:nsid w:val="64F562D0"/>
    <w:multiLevelType w:val="hybridMultilevel"/>
    <w:tmpl w:val="1A0A39AC"/>
    <w:lvl w:ilvl="0" w:tplc="04090001">
      <w:start w:val="1"/>
      <w:numFmt w:val="bullet"/>
      <w:lvlText w:val=""/>
      <w:lvlJc w:val="left"/>
      <w:pPr>
        <w:ind w:hanging="360" w:left="105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7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9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1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3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5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7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9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10"/>
      </w:pPr>
      <w:rPr>
        <w:rFonts w:ascii="Wingdings" w:hAnsi="Wingdings" w:hint="default"/>
      </w:rPr>
    </w:lvl>
  </w:abstractNum>
  <w:abstractNum w:abstractNumId="22">
    <w:nsid w:val="65E12F42"/>
    <w:multiLevelType w:val="multilevel"/>
    <w:tmpl w:val="435C917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3">
    <w:nsid w:val="70233B68"/>
    <w:multiLevelType w:val="multilevel"/>
    <w:tmpl w:val="9EC6B9F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4">
    <w:nsid w:val="767119A0"/>
    <w:multiLevelType w:val="multilevel"/>
    <w:tmpl w:val="CE74C69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5">
    <w:nsid w:val="78355293"/>
    <w:multiLevelType w:val="multilevel"/>
    <w:tmpl w:val="37587A1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680" w:val="num"/>
        </w:tabs>
        <w:ind w:hanging="680" w:left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6">
    <w:nsid w:val="78C91AE8"/>
    <w:multiLevelType w:val="multilevel"/>
    <w:tmpl w:val="295CF82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5"/>
  </w:num>
  <w:num w:numId="3">
    <w:abstractNumId w:val="26"/>
  </w:num>
  <w:num w:numId="4">
    <w:abstractNumId w:val="19"/>
  </w:num>
  <w:num w:numId="5">
    <w:abstractNumId w:val="11"/>
  </w:num>
  <w:num w:numId="6">
    <w:abstractNumId w:val="10"/>
  </w:num>
  <w:num w:numId="7">
    <w:abstractNumId w:val="13"/>
  </w:num>
  <w:num w:numId="8">
    <w:abstractNumId w:val="18"/>
  </w:num>
  <w:num w:numId="9">
    <w:abstractNumId w:val="14"/>
  </w:num>
  <w:num w:numId="10">
    <w:abstractNumId w:val="16"/>
  </w:num>
  <w:num w:numId="11">
    <w:abstractNumId w:val="25"/>
  </w:num>
  <w:num w:numId="12">
    <w:abstractNumId w:val="22"/>
  </w:num>
  <w:num w:numId="13">
    <w:abstractNumId w:val="12"/>
  </w:num>
  <w:num w:numId="14">
    <w:abstractNumId w:val="24"/>
  </w:num>
  <w:num w:numId="15">
    <w:abstractNumId w:val="23"/>
  </w:num>
  <w:num w:numId="16">
    <w:abstractNumId w:val="20"/>
  </w:num>
  <w:num w:numId="17">
    <w:abstractNumId w:val="17"/>
  </w:num>
  <w:num w:numId="18">
    <w:abstractNumId w:val="21"/>
  </w:num>
  <w:num w:numId="19">
    <w:abstractNumId w:val="8"/>
  </w:num>
  <w:num w:numId="20">
    <w:abstractNumId w:val="0"/>
  </w:num>
  <w:num w:numId="21">
    <w:abstractNumId w:val="1"/>
  </w:num>
  <w:num w:numId="22">
    <w:abstractNumId w:val="2"/>
  </w:num>
  <w:num w:numId="23">
    <w:abstractNumId w:val="3"/>
  </w:num>
  <w:num w:numId="24">
    <w:abstractNumId w:val="4"/>
  </w:num>
  <w:num w:numId="25">
    <w:abstractNumId w:val="5"/>
  </w:num>
  <w:num w:numId="26">
    <w:abstractNumId w:val="6"/>
  </w:num>
  <w:num w:numId="27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removePersonalInformation/>
  <w:removeDateAndTime/>
  <w:embedSystemFonts/>
  <w:activeWritingStyle w:appName="MSWord" w:checkStyle="0" w:dllVersion="131078" w:lang="en-US" w:nlCheck="1" w:vendorID="64"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doNotTrackMoves/>
  <w:defaultTabStop w:val="720"/>
  <w:drawingGridHorizontalSpacing w:val="100"/>
  <w:drawingGridVerticalSpacing w:val="136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132"/>
    <w:rsid w:val="0000013A"/>
    <w:rsid w:val="000074FB"/>
    <w:rsid w:val="000234BA"/>
    <w:rsid w:val="0005655A"/>
    <w:rsid w:val="00071594"/>
    <w:rsid w:val="000801B0"/>
    <w:rsid w:val="000820B5"/>
    <w:rsid w:val="00085412"/>
    <w:rsid w:val="00091FE6"/>
    <w:rsid w:val="000F0527"/>
    <w:rsid w:val="00101044"/>
    <w:rsid w:val="00113863"/>
    <w:rsid w:val="00114FAC"/>
    <w:rsid w:val="001204FA"/>
    <w:rsid w:val="0016116E"/>
    <w:rsid w:val="00163854"/>
    <w:rsid w:val="00164AB4"/>
    <w:rsid w:val="0018172A"/>
    <w:rsid w:val="0018208F"/>
    <w:rsid w:val="001920C8"/>
    <w:rsid w:val="0019671F"/>
    <w:rsid w:val="001B6FA5"/>
    <w:rsid w:val="001D38E2"/>
    <w:rsid w:val="001D5FE3"/>
    <w:rsid w:val="001E3E23"/>
    <w:rsid w:val="001F19BF"/>
    <w:rsid w:val="002026B5"/>
    <w:rsid w:val="00215526"/>
    <w:rsid w:val="00217703"/>
    <w:rsid w:val="00230DDE"/>
    <w:rsid w:val="00253A1F"/>
    <w:rsid w:val="00257E0B"/>
    <w:rsid w:val="002603F1"/>
    <w:rsid w:val="0026066A"/>
    <w:rsid w:val="00261776"/>
    <w:rsid w:val="002638ED"/>
    <w:rsid w:val="00273A5B"/>
    <w:rsid w:val="002804AA"/>
    <w:rsid w:val="00291C13"/>
    <w:rsid w:val="002A440A"/>
    <w:rsid w:val="002B313C"/>
    <w:rsid w:val="002C4F13"/>
    <w:rsid w:val="002D0118"/>
    <w:rsid w:val="002D2C4B"/>
    <w:rsid w:val="002D6CF5"/>
    <w:rsid w:val="002F727D"/>
    <w:rsid w:val="0030589E"/>
    <w:rsid w:val="003135AA"/>
    <w:rsid w:val="00316408"/>
    <w:rsid w:val="00323EF2"/>
    <w:rsid w:val="00324CA4"/>
    <w:rsid w:val="00332B45"/>
    <w:rsid w:val="003520D8"/>
    <w:rsid w:val="0035295B"/>
    <w:rsid w:val="003621AA"/>
    <w:rsid w:val="0036309E"/>
    <w:rsid w:val="003660E4"/>
    <w:rsid w:val="00386132"/>
    <w:rsid w:val="003A457E"/>
    <w:rsid w:val="003B03CF"/>
    <w:rsid w:val="003B6750"/>
    <w:rsid w:val="003C4829"/>
    <w:rsid w:val="003D0EC3"/>
    <w:rsid w:val="003D5AF4"/>
    <w:rsid w:val="003E0D71"/>
    <w:rsid w:val="003E52E0"/>
    <w:rsid w:val="003E55D2"/>
    <w:rsid w:val="00410EE5"/>
    <w:rsid w:val="0041433E"/>
    <w:rsid w:val="0042064D"/>
    <w:rsid w:val="00421CBB"/>
    <w:rsid w:val="00423242"/>
    <w:rsid w:val="00432DD4"/>
    <w:rsid w:val="004356EA"/>
    <w:rsid w:val="00442822"/>
    <w:rsid w:val="00461480"/>
    <w:rsid w:val="00467A44"/>
    <w:rsid w:val="0047564C"/>
    <w:rsid w:val="004801AF"/>
    <w:rsid w:val="00482D29"/>
    <w:rsid w:val="004A2EEB"/>
    <w:rsid w:val="004A7C74"/>
    <w:rsid w:val="004C2F75"/>
    <w:rsid w:val="004D6692"/>
    <w:rsid w:val="004D7242"/>
    <w:rsid w:val="004F6821"/>
    <w:rsid w:val="00500E6C"/>
    <w:rsid w:val="005011C8"/>
    <w:rsid w:val="00504E87"/>
    <w:rsid w:val="00507A6E"/>
    <w:rsid w:val="00507CA5"/>
    <w:rsid w:val="005101A1"/>
    <w:rsid w:val="00527955"/>
    <w:rsid w:val="00530D40"/>
    <w:rsid w:val="005320D6"/>
    <w:rsid w:val="00537F31"/>
    <w:rsid w:val="0054389D"/>
    <w:rsid w:val="00543A90"/>
    <w:rsid w:val="00547DDD"/>
    <w:rsid w:val="005631D5"/>
    <w:rsid w:val="00571090"/>
    <w:rsid w:val="0059409F"/>
    <w:rsid w:val="00596D0C"/>
    <w:rsid w:val="005A3DA1"/>
    <w:rsid w:val="005A3EB8"/>
    <w:rsid w:val="005B26AA"/>
    <w:rsid w:val="005B4337"/>
    <w:rsid w:val="005B5E10"/>
    <w:rsid w:val="005B7487"/>
    <w:rsid w:val="005C4C45"/>
    <w:rsid w:val="00602610"/>
    <w:rsid w:val="006229A5"/>
    <w:rsid w:val="00625941"/>
    <w:rsid w:val="006272C8"/>
    <w:rsid w:val="00642BC2"/>
    <w:rsid w:val="00642E19"/>
    <w:rsid w:val="006576E4"/>
    <w:rsid w:val="00662955"/>
    <w:rsid w:val="00663004"/>
    <w:rsid w:val="00694022"/>
    <w:rsid w:val="006A095F"/>
    <w:rsid w:val="006A7AE0"/>
    <w:rsid w:val="006A7F8D"/>
    <w:rsid w:val="006B0B4B"/>
    <w:rsid w:val="006B1684"/>
    <w:rsid w:val="006D6870"/>
    <w:rsid w:val="006E5639"/>
    <w:rsid w:val="006E5967"/>
    <w:rsid w:val="006F2561"/>
    <w:rsid w:val="00714E70"/>
    <w:rsid w:val="007167DE"/>
    <w:rsid w:val="007225FC"/>
    <w:rsid w:val="00727951"/>
    <w:rsid w:val="00730118"/>
    <w:rsid w:val="00732E5E"/>
    <w:rsid w:val="00735441"/>
    <w:rsid w:val="0076241F"/>
    <w:rsid w:val="007A2147"/>
    <w:rsid w:val="007A5206"/>
    <w:rsid w:val="007C1099"/>
    <w:rsid w:val="007C10AE"/>
    <w:rsid w:val="007C1A51"/>
    <w:rsid w:val="007E11CB"/>
    <w:rsid w:val="007E75C5"/>
    <w:rsid w:val="007F3C9C"/>
    <w:rsid w:val="0080069B"/>
    <w:rsid w:val="00820DCA"/>
    <w:rsid w:val="00825C71"/>
    <w:rsid w:val="008410C7"/>
    <w:rsid w:val="00855D1A"/>
    <w:rsid w:val="00857F58"/>
    <w:rsid w:val="00864E39"/>
    <w:rsid w:val="00865CD8"/>
    <w:rsid w:val="0087085A"/>
    <w:rsid w:val="008909E6"/>
    <w:rsid w:val="008A2B88"/>
    <w:rsid w:val="008A5342"/>
    <w:rsid w:val="008A6C30"/>
    <w:rsid w:val="008B70BF"/>
    <w:rsid w:val="008B768D"/>
    <w:rsid w:val="008D71DE"/>
    <w:rsid w:val="008E3AF9"/>
    <w:rsid w:val="008F0670"/>
    <w:rsid w:val="008F4625"/>
    <w:rsid w:val="0090189C"/>
    <w:rsid w:val="00907449"/>
    <w:rsid w:val="009210B5"/>
    <w:rsid w:val="0092196A"/>
    <w:rsid w:val="00923F3A"/>
    <w:rsid w:val="00924B89"/>
    <w:rsid w:val="00936970"/>
    <w:rsid w:val="009460EE"/>
    <w:rsid w:val="00947FC0"/>
    <w:rsid w:val="00956729"/>
    <w:rsid w:val="009723EF"/>
    <w:rsid w:val="00996835"/>
    <w:rsid w:val="009A2394"/>
    <w:rsid w:val="009B5B83"/>
    <w:rsid w:val="009C0781"/>
    <w:rsid w:val="009C51B0"/>
    <w:rsid w:val="009E6103"/>
    <w:rsid w:val="009E6973"/>
    <w:rsid w:val="009F2A61"/>
    <w:rsid w:val="00A02C59"/>
    <w:rsid w:val="00A067B1"/>
    <w:rsid w:val="00A13344"/>
    <w:rsid w:val="00A143E3"/>
    <w:rsid w:val="00A2615B"/>
    <w:rsid w:val="00A406B5"/>
    <w:rsid w:val="00A5383D"/>
    <w:rsid w:val="00A55CBD"/>
    <w:rsid w:val="00A80656"/>
    <w:rsid w:val="00A807D6"/>
    <w:rsid w:val="00A93647"/>
    <w:rsid w:val="00AA366E"/>
    <w:rsid w:val="00AA68EA"/>
    <w:rsid w:val="00AB1C69"/>
    <w:rsid w:val="00AB4FC8"/>
    <w:rsid w:val="00AB73CD"/>
    <w:rsid w:val="00AE3EAB"/>
    <w:rsid w:val="00AF09CC"/>
    <w:rsid w:val="00B03B29"/>
    <w:rsid w:val="00B20097"/>
    <w:rsid w:val="00B266CC"/>
    <w:rsid w:val="00B31084"/>
    <w:rsid w:val="00B62CA5"/>
    <w:rsid w:val="00B734D2"/>
    <w:rsid w:val="00B74D24"/>
    <w:rsid w:val="00B913C4"/>
    <w:rsid w:val="00BA10DF"/>
    <w:rsid w:val="00BA518F"/>
    <w:rsid w:val="00BB6242"/>
    <w:rsid w:val="00BE5A7C"/>
    <w:rsid w:val="00BE7743"/>
    <w:rsid w:val="00BF1853"/>
    <w:rsid w:val="00BF788B"/>
    <w:rsid w:val="00C00E49"/>
    <w:rsid w:val="00C07377"/>
    <w:rsid w:val="00C30494"/>
    <w:rsid w:val="00C32D49"/>
    <w:rsid w:val="00C407E6"/>
    <w:rsid w:val="00C47574"/>
    <w:rsid w:val="00C508A5"/>
    <w:rsid w:val="00C51CDD"/>
    <w:rsid w:val="00C525B9"/>
    <w:rsid w:val="00C52EAE"/>
    <w:rsid w:val="00C55A43"/>
    <w:rsid w:val="00C80B33"/>
    <w:rsid w:val="00C86395"/>
    <w:rsid w:val="00CA301D"/>
    <w:rsid w:val="00CB2D77"/>
    <w:rsid w:val="00CB6318"/>
    <w:rsid w:val="00CD04E7"/>
    <w:rsid w:val="00CD37D5"/>
    <w:rsid w:val="00CD4872"/>
    <w:rsid w:val="00CD566A"/>
    <w:rsid w:val="00D07285"/>
    <w:rsid w:val="00D1227F"/>
    <w:rsid w:val="00D13400"/>
    <w:rsid w:val="00D23629"/>
    <w:rsid w:val="00D270BF"/>
    <w:rsid w:val="00D330BD"/>
    <w:rsid w:val="00D3762E"/>
    <w:rsid w:val="00D40736"/>
    <w:rsid w:val="00D41628"/>
    <w:rsid w:val="00D623F9"/>
    <w:rsid w:val="00D7130B"/>
    <w:rsid w:val="00D73D40"/>
    <w:rsid w:val="00D83112"/>
    <w:rsid w:val="00D9151F"/>
    <w:rsid w:val="00DA2A10"/>
    <w:rsid w:val="00DA5EE8"/>
    <w:rsid w:val="00DC0A65"/>
    <w:rsid w:val="00DC3CC5"/>
    <w:rsid w:val="00DC4DAD"/>
    <w:rsid w:val="00DD7A75"/>
    <w:rsid w:val="00DE2B02"/>
    <w:rsid w:val="00DE518A"/>
    <w:rsid w:val="00DE7C97"/>
    <w:rsid w:val="00DF7662"/>
    <w:rsid w:val="00DF79CD"/>
    <w:rsid w:val="00E02707"/>
    <w:rsid w:val="00E54EBE"/>
    <w:rsid w:val="00E6584B"/>
    <w:rsid w:val="00E77F29"/>
    <w:rsid w:val="00E91F75"/>
    <w:rsid w:val="00E93ED2"/>
    <w:rsid w:val="00E9638B"/>
    <w:rsid w:val="00EA5F74"/>
    <w:rsid w:val="00EB34E1"/>
    <w:rsid w:val="00EB68DC"/>
    <w:rsid w:val="00EE03D2"/>
    <w:rsid w:val="00EE1303"/>
    <w:rsid w:val="00EE685B"/>
    <w:rsid w:val="00EF071E"/>
    <w:rsid w:val="00F00CC8"/>
    <w:rsid w:val="00F04217"/>
    <w:rsid w:val="00F35B36"/>
    <w:rsid w:val="00F362C8"/>
    <w:rsid w:val="00F37209"/>
    <w:rsid w:val="00F601F4"/>
    <w:rsid w:val="00F727D6"/>
    <w:rsid w:val="00F72ED9"/>
    <w:rsid w:val="00F73594"/>
    <w:rsid w:val="00F910C3"/>
    <w:rsid w:val="00FA06E6"/>
    <w:rsid w:val="00FA4E5E"/>
    <w:rsid w:val="00FC015F"/>
    <w:rsid w:val="00FD0B79"/>
    <w:rsid w:val="00FE32BD"/>
    <w:rsid w:val="00FF58C6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>
    <w:lsdException w:name="heading 1" w:qFormat="1" w:uiPriority="9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Revision" w:semiHidden="1"/>
    <w:lsdException w:name="List Paragraph" w:qFormat="1" w:uiPriority="34"/>
  </w:latentStyles>
  <w:style w:default="1" w:styleId="Normal" w:type="paragraph">
    <w:name w:val="Normal"/>
    <w:qFormat/>
    <w:rsid w:val="00257E0B"/>
    <w:pPr>
      <w:ind w:firstLine="284"/>
      <w:jc w:val="both"/>
    </w:pPr>
    <w:rPr>
      <w:rFonts w:ascii="Times New Roman" w:hAnsi="Times New Roman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655A"/>
    <w:pPr>
      <w:keepNext/>
      <w:keepLines/>
      <w:spacing w:before="480"/>
      <w:outlineLvl w:val="0"/>
    </w:pPr>
    <w:rPr>
      <w:rFonts w:cstheme="majorBidi" w:eastAsiaTheme="majorEastAsia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rsid w:val="0005655A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basedOn w:val="DefaultParagraphFont"/>
    <w:uiPriority w:val="99"/>
    <w:unhideWhenUsed/>
    <w:rsid w:val="00F73594"/>
    <w:rPr>
      <w:color w:themeColor="hyperlink" w:val="0000FF"/>
      <w:u w:val="single"/>
    </w:rPr>
  </w:style>
  <w:style w:customStyle="1" w:styleId="Heading1Char" w:type="character">
    <w:name w:val="Heading 1 Char"/>
    <w:basedOn w:val="DefaultParagraphFont"/>
    <w:link w:val="Heading1"/>
    <w:uiPriority w:val="9"/>
    <w:rsid w:val="0005655A"/>
    <w:rPr>
      <w:rFonts w:ascii="Times New Roman" w:cstheme="majorBidi" w:eastAsiaTheme="majorEastAsia" w:hAnsi="Times New Roman"/>
      <w:b/>
      <w:bCs/>
      <w:color w:themeColor="accent1" w:themeShade="B5" w:val="345A8A"/>
      <w:sz w:val="32"/>
      <w:szCs w:val="32"/>
    </w:rPr>
  </w:style>
  <w:style w:styleId="Title" w:type="paragraph">
    <w:name w:val="Title"/>
    <w:basedOn w:val="Normal"/>
    <w:next w:val="Authors"/>
    <w:link w:val="TitleChar"/>
    <w:uiPriority w:val="10"/>
    <w:qFormat/>
    <w:rsid w:val="00101044"/>
    <w:pPr>
      <w:spacing w:after="300"/>
      <w:contextualSpacing/>
      <w:jc w:val="center"/>
    </w:pPr>
    <w:rPr>
      <w:rFonts w:cstheme="majorBidi" w:eastAsiaTheme="majorEastAsi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01044"/>
    <w:rPr>
      <w:rFonts w:ascii="Times New Roman" w:cstheme="majorBidi" w:eastAsiaTheme="majorEastAsia" w:hAnsi="Times New Roman"/>
      <w:spacing w:val="5"/>
      <w:kern w:val="28"/>
      <w:sz w:val="40"/>
      <w:szCs w:val="52"/>
    </w:rPr>
  </w:style>
  <w:style w:customStyle="1" w:styleId="Authors" w:type="paragraph">
    <w:name w:val="Authors"/>
    <w:basedOn w:val="Normal"/>
    <w:next w:val="Institute"/>
    <w:link w:val="AuthorsChar"/>
    <w:qFormat/>
    <w:rsid w:val="00101044"/>
    <w:pPr>
      <w:jc w:val="center"/>
    </w:pPr>
    <w:rPr>
      <w:sz w:val="26"/>
    </w:rPr>
  </w:style>
  <w:style w:customStyle="1" w:styleId="AuthorsChar" w:type="character">
    <w:name w:val="Authors Char"/>
    <w:basedOn w:val="DefaultParagraphFont"/>
    <w:link w:val="Authors"/>
    <w:rsid w:val="00101044"/>
    <w:rPr>
      <w:rFonts w:ascii="Times New Roman" w:hAnsi="Times New Roman"/>
      <w:sz w:val="26"/>
    </w:rPr>
  </w:style>
  <w:style w:customStyle="1" w:styleId="Section" w:type="paragraph">
    <w:name w:val="Section"/>
    <w:basedOn w:val="Heading1"/>
    <w:next w:val="Normal"/>
    <w:link w:val="SectionChar"/>
    <w:qFormat/>
    <w:rsid w:val="0080069B"/>
    <w:pPr>
      <w:numPr>
        <w:numId w:val="7"/>
      </w:numPr>
      <w:spacing w:after="160"/>
    </w:pPr>
    <w:rPr>
      <w:b w:val="0"/>
      <w:color w:val="auto"/>
    </w:rPr>
  </w:style>
  <w:style w:customStyle="1" w:styleId="SectionChar" w:type="character">
    <w:name w:val="Section Char"/>
    <w:basedOn w:val="Heading1Char"/>
    <w:link w:val="Section"/>
    <w:rsid w:val="0080069B"/>
    <w:rPr>
      <w:rFonts w:ascii="Times New Roman" w:cstheme="majorBidi" w:eastAsiaTheme="majorEastAsia" w:hAnsi="Times New Roman"/>
      <w:b w:val="0"/>
      <w:bCs/>
      <w:color w:themeColor="accent1" w:themeShade="B5" w:val="345A8A"/>
      <w:sz w:val="32"/>
      <w:szCs w:val="32"/>
    </w:rPr>
  </w:style>
  <w:style w:customStyle="1" w:styleId="Subsection" w:type="paragraph">
    <w:name w:val="Subsection"/>
    <w:basedOn w:val="Heading2"/>
    <w:next w:val="Normal"/>
    <w:link w:val="SubsectionChar"/>
    <w:qFormat/>
    <w:rsid w:val="0080069B"/>
    <w:pPr>
      <w:numPr>
        <w:ilvl w:val="1"/>
        <w:numId w:val="7"/>
      </w:numPr>
      <w:spacing w:after="120"/>
    </w:pPr>
    <w:rPr>
      <w:rFonts w:ascii="Times New Roman" w:hAnsi="Times New Roman"/>
      <w:b w:val="0"/>
      <w:color w:val="auto"/>
      <w:sz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5655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SubsectionChar" w:type="character">
    <w:name w:val="Subsection Char"/>
    <w:basedOn w:val="Heading2Char"/>
    <w:link w:val="Subsection"/>
    <w:rsid w:val="0080069B"/>
    <w:rPr>
      <w:rFonts w:ascii="Times New Roman" w:cstheme="majorBidi" w:eastAsiaTheme="majorEastAsia" w:hAnsi="Times New Roman"/>
      <w:b w:val="0"/>
      <w:bCs/>
      <w:color w:themeColor="accent1" w:val="4F81BD"/>
      <w:sz w:val="28"/>
      <w:szCs w:val="26"/>
    </w:rPr>
  </w:style>
  <w:style w:customStyle="1" w:styleId="Institute" w:type="paragraph">
    <w:name w:val="Institute"/>
    <w:basedOn w:val="Authors"/>
    <w:link w:val="InstituteChar"/>
    <w:qFormat/>
    <w:rsid w:val="00101044"/>
    <w:rPr>
      <w:sz w:val="20"/>
    </w:rPr>
  </w:style>
  <w:style w:customStyle="1" w:styleId="InstituteChar" w:type="character">
    <w:name w:val="Institute Char"/>
    <w:basedOn w:val="AuthorsChar"/>
    <w:link w:val="Institute"/>
    <w:rsid w:val="00101044"/>
    <w:rPr>
      <w:rFonts w:ascii="Times New Roman" w:hAnsi="Times New Roman"/>
      <w:sz w:val="20"/>
    </w:rPr>
  </w:style>
  <w:style w:styleId="ListParagraph" w:type="paragraph">
    <w:name w:val="List Paragraph"/>
    <w:basedOn w:val="Normal"/>
    <w:uiPriority w:val="34"/>
    <w:qFormat/>
    <w:rsid w:val="0019671F"/>
    <w:pPr>
      <w:spacing w:after="120" w:before="120"/>
      <w:ind w:left="720"/>
    </w:pPr>
  </w:style>
  <w:style w:customStyle="1" w:styleId="Monospaced" w:type="character">
    <w:name w:val="Monospaced"/>
    <w:basedOn w:val="DefaultParagraphFont"/>
    <w:uiPriority w:val="1"/>
    <w:qFormat/>
    <w:rsid w:val="00527955"/>
    <w:rPr>
      <w:rFonts w:ascii="Courier" w:hAnsi="Courier"/>
    </w:rPr>
  </w:style>
  <w:style w:customStyle="1" w:styleId="Abstracttitle" w:type="paragraph">
    <w:name w:val="Abstract title"/>
    <w:basedOn w:val="Section"/>
    <w:next w:val="Abstract"/>
    <w:link w:val="AbstracttitleChar"/>
    <w:qFormat/>
    <w:rsid w:val="00A406B5"/>
    <w:pPr>
      <w:numPr>
        <w:numId w:val="0"/>
      </w:numPr>
      <w:spacing w:after="80"/>
      <w:jc w:val="center"/>
    </w:pPr>
    <w:rPr>
      <w:b/>
      <w:sz w:val="20"/>
    </w:rPr>
  </w:style>
  <w:style w:customStyle="1" w:styleId="AbstracttitleChar" w:type="character">
    <w:name w:val="Abstract title Char"/>
    <w:basedOn w:val="SectionChar"/>
    <w:link w:val="Abstracttitle"/>
    <w:rsid w:val="006229A5"/>
    <w:rPr>
      <w:rFonts w:ascii="Times New Roman" w:cstheme="majorBidi" w:eastAsiaTheme="majorEastAsia" w:hAnsi="Times New Roman"/>
      <w:b/>
      <w:bCs/>
      <w:color w:themeColor="accent1" w:themeShade="B5" w:val="345A8A"/>
      <w:sz w:val="20"/>
      <w:szCs w:val="32"/>
    </w:rPr>
  </w:style>
  <w:style w:customStyle="1" w:styleId="Abstract" w:type="paragraph">
    <w:name w:val="Abstract"/>
    <w:basedOn w:val="Normal"/>
    <w:link w:val="AbstractChar"/>
    <w:qFormat/>
    <w:rsid w:val="0019671F"/>
    <w:pPr>
      <w:ind w:left="567" w:right="567"/>
    </w:pPr>
  </w:style>
  <w:style w:customStyle="1" w:styleId="AbstractChar" w:type="character">
    <w:name w:val="Abstract Char"/>
    <w:basedOn w:val="SectionChar"/>
    <w:link w:val="Abstract"/>
    <w:rsid w:val="0019671F"/>
    <w:rPr>
      <w:rFonts w:ascii="Times New Roman" w:cstheme="majorBidi" w:eastAsiaTheme="majorEastAsia" w:hAnsi="Times New Roman"/>
      <w:b w:val="0"/>
      <w:bCs w:val="0"/>
      <w:color w:themeColor="accent1" w:themeShade="B5" w:val="345A8A"/>
      <w:sz w:val="20"/>
      <w:szCs w:val="32"/>
    </w:rPr>
  </w:style>
  <w:style w:customStyle="1" w:styleId="Sans-Serif" w:type="character">
    <w:name w:val="Sans-Serif"/>
    <w:basedOn w:val="DefaultParagraphFont"/>
    <w:uiPriority w:val="1"/>
    <w:qFormat/>
    <w:rsid w:val="00527955"/>
    <w:rPr>
      <w:rFonts w:ascii="Helvetica" w:hAnsi="Helvetica"/>
    </w:rPr>
  </w:style>
  <w:style w:styleId="FootnoteText" w:type="paragraph">
    <w:name w:val="footnote text"/>
    <w:basedOn w:val="Normal"/>
    <w:link w:val="FootnoteTextChar"/>
    <w:uiPriority w:val="99"/>
    <w:unhideWhenUsed/>
    <w:rsid w:val="0041433E"/>
    <w:rPr>
      <w:sz w:val="16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41433E"/>
    <w:rPr>
      <w:rFonts w:ascii="Times New Roman" w:hAnsi="Times New Roman"/>
      <w:sz w:val="16"/>
    </w:rPr>
  </w:style>
  <w:style w:styleId="FootnoteReference" w:type="character">
    <w:name w:val="footnote reference"/>
    <w:basedOn w:val="DefaultParagraphFont"/>
    <w:uiPriority w:val="99"/>
    <w:unhideWhenUsed/>
    <w:rsid w:val="006229A5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4D7242"/>
    <w:rPr>
      <w:sz w:val="24"/>
    </w:rPr>
  </w:style>
  <w:style w:customStyle="1" w:styleId="EndnoteTextChar" w:type="character">
    <w:name w:val="Endnote Text Char"/>
    <w:basedOn w:val="DefaultParagraphFont"/>
    <w:link w:val="EndnoteText"/>
    <w:uiPriority w:val="99"/>
    <w:rsid w:val="004D7242"/>
    <w:rPr>
      <w:rFonts w:ascii="Times New Roman" w:hAnsi="Times New Roman"/>
    </w:rPr>
  </w:style>
  <w:style w:styleId="EndnoteReference" w:type="character">
    <w:name w:val="endnote reference"/>
    <w:basedOn w:val="DefaultParagraphFont"/>
    <w:uiPriority w:val="99"/>
    <w:unhideWhenUsed/>
    <w:rsid w:val="004D7242"/>
    <w:rPr>
      <w:vertAlign w:val="superscript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D7242"/>
    <w:rPr>
      <w:rFonts w:ascii="Lucida Grande" w:cs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4D7242"/>
    <w:rPr>
      <w:rFonts w:ascii="Lucida Grande" w:cs="Lucida Grande" w:hAnsi="Lucida Grande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865CD8"/>
  </w:style>
  <w:style w:customStyle="1" w:styleId="References" w:type="paragraph">
    <w:name w:val="References"/>
    <w:basedOn w:val="Section"/>
    <w:next w:val="Normal"/>
    <w:qFormat/>
    <w:rsid w:val="00A406B5"/>
    <w:pPr>
      <w:numPr>
        <w:numId w:val="0"/>
      </w:numPr>
    </w:pPr>
  </w:style>
  <w:style w:styleId="FollowedHyperlink" w:type="character">
    <w:name w:val="FollowedHyperlink"/>
    <w:basedOn w:val="DefaultParagraphFont"/>
    <w:uiPriority w:val="99"/>
    <w:semiHidden/>
    <w:unhideWhenUsed/>
    <w:rsid w:val="00FA4E5E"/>
    <w:rPr>
      <w:color w:themeColor="followedHyperlink" w:val="800080"/>
      <w:u w:val="single"/>
    </w:rPr>
  </w:style>
  <w:style w:styleId="Caption" w:type="paragraph">
    <w:name w:val="caption"/>
    <w:basedOn w:val="Normal"/>
    <w:next w:val="Normal"/>
    <w:rsid w:val="00A93647"/>
    <w:pPr>
      <w:spacing w:after="200"/>
    </w:pPr>
    <w:rPr>
      <w:b/>
      <w:bCs/>
      <w:sz w:val="18"/>
      <w:szCs w:val="18"/>
    </w:rPr>
  </w:style>
  <w:style w:styleId="Header" w:type="paragraph">
    <w:name w:val="header"/>
    <w:basedOn w:val="Normal"/>
    <w:link w:val="HeaderChar"/>
    <w:rsid w:val="006A7F8D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rsid w:val="006A7F8D"/>
    <w:rPr>
      <w:rFonts w:ascii="Times New Roman" w:hAnsi="Times New Roman"/>
      <w:sz w:val="20"/>
    </w:rPr>
  </w:style>
  <w:style w:styleId="Footer" w:type="paragraph">
    <w:name w:val="footer"/>
    <w:basedOn w:val="Normal"/>
    <w:link w:val="FooterChar"/>
    <w:rsid w:val="006A7F8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rsid w:val="006A7F8D"/>
    <w:rPr>
      <w:rFonts w:ascii="Times New Roman" w:hAnsi="Times New Roman"/>
      <w:sz w:val="20"/>
    </w:rPr>
  </w:style>
  <w:style w:styleId="TableGrid" w:type="table">
    <w:name w:val="Table Grid"/>
    <w:basedOn w:val="TableNormal"/>
    <w:rsid w:val="00642E19"/>
    <w:tblPr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TOC1" w:type="paragraph">
    <w:name w:val="toc 1"/>
    <w:basedOn w:val="Normal"/>
    <w:next w:val="Normal"/>
    <w:autoRedefine/>
    <w:uiPriority w:val="39"/>
    <w:unhideWhenUsed/>
    <w:rsid w:val="00EF071E"/>
    <w:pPr>
      <w:spacing w:before="120"/>
      <w:jc w:val="left"/>
    </w:pPr>
    <w:rPr>
      <w:rFonts w:asciiTheme="minorHAnsi" w:hAnsiTheme="minorHAnsi"/>
      <w:b/>
      <w:bCs/>
      <w:sz w:val="22"/>
      <w:szCs w:val="22"/>
    </w:rPr>
  </w:style>
  <w:style w:styleId="TOC2" w:type="paragraph">
    <w:name w:val="toc 2"/>
    <w:basedOn w:val="Normal"/>
    <w:next w:val="Normal"/>
    <w:autoRedefine/>
    <w:uiPriority w:val="39"/>
    <w:unhideWhenUsed/>
    <w:rsid w:val="00EF071E"/>
    <w:pPr>
      <w:ind w:left="200"/>
      <w:jc w:val="left"/>
    </w:pPr>
    <w:rPr>
      <w:rFonts w:asciiTheme="minorHAnsi" w:hAnsiTheme="minorHAnsi"/>
      <w:i/>
      <w:iCs/>
      <w:sz w:val="22"/>
      <w:szCs w:val="22"/>
    </w:rPr>
  </w:style>
  <w:style w:styleId="TOC3" w:type="paragraph">
    <w:name w:val="toc 3"/>
    <w:basedOn w:val="Normal"/>
    <w:next w:val="Normal"/>
    <w:autoRedefine/>
    <w:unhideWhenUsed/>
    <w:rsid w:val="00EF071E"/>
    <w:pPr>
      <w:ind w:left="400"/>
      <w:jc w:val="left"/>
    </w:pPr>
    <w:rPr>
      <w:rFonts w:asciiTheme="minorHAnsi" w:hAnsiTheme="minorHAnsi"/>
      <w:sz w:val="22"/>
      <w:szCs w:val="22"/>
    </w:rPr>
  </w:style>
  <w:style w:styleId="TOC4" w:type="paragraph">
    <w:name w:val="toc 4"/>
    <w:basedOn w:val="Normal"/>
    <w:next w:val="Normal"/>
    <w:autoRedefine/>
    <w:unhideWhenUsed/>
    <w:rsid w:val="00EF071E"/>
    <w:pPr>
      <w:ind w:left="600"/>
      <w:jc w:val="left"/>
    </w:pPr>
    <w:rPr>
      <w:rFonts w:asciiTheme="minorHAnsi" w:hAnsiTheme="minorHAnsi"/>
      <w:szCs w:val="20"/>
    </w:rPr>
  </w:style>
  <w:style w:styleId="TOC5" w:type="paragraph">
    <w:name w:val="toc 5"/>
    <w:basedOn w:val="Normal"/>
    <w:next w:val="Normal"/>
    <w:autoRedefine/>
    <w:unhideWhenUsed/>
    <w:rsid w:val="00EF071E"/>
    <w:pPr>
      <w:ind w:left="800"/>
      <w:jc w:val="left"/>
    </w:pPr>
    <w:rPr>
      <w:rFonts w:asciiTheme="minorHAnsi" w:hAnsiTheme="minorHAnsi"/>
      <w:szCs w:val="20"/>
    </w:rPr>
  </w:style>
  <w:style w:styleId="TOC6" w:type="paragraph">
    <w:name w:val="toc 6"/>
    <w:basedOn w:val="Normal"/>
    <w:next w:val="Normal"/>
    <w:autoRedefine/>
    <w:unhideWhenUsed/>
    <w:rsid w:val="00EF071E"/>
    <w:pPr>
      <w:ind w:left="1000"/>
      <w:jc w:val="left"/>
    </w:pPr>
    <w:rPr>
      <w:rFonts w:asciiTheme="minorHAnsi" w:hAnsiTheme="minorHAnsi"/>
      <w:szCs w:val="20"/>
    </w:rPr>
  </w:style>
  <w:style w:styleId="TOC7" w:type="paragraph">
    <w:name w:val="toc 7"/>
    <w:basedOn w:val="Normal"/>
    <w:next w:val="Normal"/>
    <w:autoRedefine/>
    <w:unhideWhenUsed/>
    <w:rsid w:val="00EF071E"/>
    <w:pPr>
      <w:ind w:left="1200"/>
      <w:jc w:val="left"/>
    </w:pPr>
    <w:rPr>
      <w:rFonts w:asciiTheme="minorHAnsi" w:hAnsiTheme="minorHAnsi"/>
      <w:szCs w:val="20"/>
    </w:rPr>
  </w:style>
  <w:style w:styleId="TOC8" w:type="paragraph">
    <w:name w:val="toc 8"/>
    <w:basedOn w:val="Normal"/>
    <w:next w:val="Normal"/>
    <w:autoRedefine/>
    <w:unhideWhenUsed/>
    <w:rsid w:val="00EF071E"/>
    <w:pPr>
      <w:ind w:left="1400"/>
      <w:jc w:val="left"/>
    </w:pPr>
    <w:rPr>
      <w:rFonts w:asciiTheme="minorHAnsi" w:hAnsiTheme="minorHAnsi"/>
      <w:szCs w:val="20"/>
    </w:rPr>
  </w:style>
  <w:style w:styleId="TOC9" w:type="paragraph">
    <w:name w:val="toc 9"/>
    <w:basedOn w:val="Normal"/>
    <w:next w:val="Normal"/>
    <w:autoRedefine/>
    <w:unhideWhenUsed/>
    <w:rsid w:val="00EF071E"/>
    <w:pPr>
      <w:ind w:left="1600"/>
      <w:jc w:val="left"/>
    </w:pPr>
    <w:rPr>
      <w:rFonts w:asciiTheme="minorHAnsi" w:hAnsiTheme="minorHAnsi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basedOn w:val="Normal"/>
    <w:pPr>
      <w:spacing w:after="0"/>
      <w:ind w:firstLine="0"/>
      <w:jc w:val="left"/>
    </w:pPr>
    <w:rPr>
      <w:rFonts w:ascii="Courier New" w:hAnsi="Courier New"/>
      <w:sz w:val="16"/>
    </w:rPr>
  </w:style>
  <w:style w:type="paragraph" w:customStyle="1" w:styleId="Tabletext">
    <w:name w:val="Table text"/>
    <w:basedOn w:val="Normal"/>
    <w:pPr>
      <w:spacing w:after="0"/>
      <w:ind w:firstLine="0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'1.0' encoding='UTF-8' standalone='yes'?>
<Relationships xmlns="http://schemas.openxmlformats.org/package/2006/relationships"><Relationship Id="rId28" Type="http://schemas.openxmlformats.org/officeDocument/2006/relationships/numbering" Target="numbering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webSettings" Target="webSetting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notes" Target="footnotes.xml"/><Relationship Id="rId21" Type="http://schemas.openxmlformats.org/officeDocument/2006/relationships/comments" Target="comments.xml"/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tiff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e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2160</Words>
  <Characters>12318</Characters>
  <Application>Microsoft Macintosh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Abstract</vt:lpstr>
      <vt:lpstr>Introduction</vt:lpstr>
      <vt:lpstr>Document Header</vt:lpstr>
      <vt:lpstr>Styles</vt:lpstr>
      <vt:lpstr>    Styles for the Article Body</vt:lpstr>
      <vt:lpstr>Adding Citations</vt:lpstr>
      <vt:lpstr>Adding Figures and Tables</vt:lpstr>
      <vt:lpstr>EasyChair Style Requirements</vt:lpstr>
      <vt:lpstr>    Bug Reports</vt:lpstr>
      <vt:lpstr>What to do if You Already Created a Document Using a Different Style</vt:lpstr>
      <vt:lpstr>Submitting Your Article Through EasyChair</vt:lpstr>
      <vt:lpstr>    Submitting the Article for Reviewing</vt:lpstr>
      <vt:lpstr>    Submitting the Final Version for the Proceedings</vt:lpstr>
      <vt:lpstr>References</vt:lpstr>
    </vt:vector>
  </TitlesOfParts>
  <Manager/>
  <Company/>
  <LinksUpToDate>false</LinksUpToDate>
  <CharactersWithSpaces>14450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54</dc:title>
  <dc:creator/>
  <cp:keywords/>
  <dcterms:created xsi:type="dcterms:W3CDTF">2026-09-29T18:06:33Z</dcterms:created>
  <dcterms:modified xsi:type="dcterms:W3CDTF">2026-09-29T18:06:33Z</dcterms:modified>
  <cp:lastModifiedBy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