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12AB3" w14:textId="467A52DB" w:rsidR="00DF21FC" w:rsidRPr="009F5CF3" w:rsidRDefault="00DF21FC">
      <w:pPr>
        <w:rPr>
          <w:b/>
          <w:bCs/>
          <w:sz w:val="28"/>
          <w:szCs w:val="28"/>
        </w:rPr>
      </w:pPr>
      <w:r w:rsidRPr="009F5CF3">
        <w:rPr>
          <w:b/>
          <w:bCs/>
          <w:sz w:val="28"/>
          <w:szCs w:val="28"/>
        </w:rPr>
        <w:t>Introduction</w:t>
      </w:r>
    </w:p>
    <w:p w14:paraId="33586A6F" w14:textId="76B50872" w:rsidR="00D363A6" w:rsidRPr="00511962" w:rsidRDefault="00E7449E">
      <w:r w:rsidRPr="00511962">
        <w:t>The burden of periodontal disease</w:t>
      </w:r>
      <w:r w:rsidR="002A0DE0">
        <w:t>s</w:t>
      </w:r>
      <w:r w:rsidRPr="00511962">
        <w:t xml:space="preserve"> (PD), including both gingivitis and periodontitis, in</w:t>
      </w:r>
      <w:r w:rsidR="002A0DE0">
        <w:t xml:space="preserve"> </w:t>
      </w:r>
      <w:r w:rsidRPr="00511962">
        <w:t xml:space="preserve">England is </w:t>
      </w:r>
      <w:r w:rsidR="00690FBA" w:rsidRPr="00511962">
        <w:t>s</w:t>
      </w:r>
      <w:r w:rsidR="00690FBA">
        <w:t>ubstantial</w:t>
      </w:r>
      <w:r w:rsidRPr="00511962">
        <w:t xml:space="preserve">. </w:t>
      </w:r>
      <w:r w:rsidR="0058494E" w:rsidRPr="00511962">
        <w:t xml:space="preserve">The Adult Oral Health Survey 2021 reported that 19% of adults had been told by a dental professional that they had </w:t>
      </w:r>
      <w:r w:rsidR="00DB3B79">
        <w:t>PD</w:t>
      </w:r>
      <w:r w:rsidR="0058494E" w:rsidRPr="00511962">
        <w:t>, and 27% ha</w:t>
      </w:r>
      <w:r w:rsidR="002A0DE0">
        <w:t>d</w:t>
      </w:r>
      <w:r w:rsidR="0058494E" w:rsidRPr="00511962">
        <w:t xml:space="preserve"> bleeding gums</w:t>
      </w:r>
      <w:r w:rsidR="00332FC8">
        <w:t xml:space="preserve"> </w:t>
      </w:r>
      <w:r w:rsidR="0058494E" w:rsidRPr="00511962">
        <w:t>[1]. These values were self-reported, and may represent underestimation</w:t>
      </w:r>
      <w:r w:rsidR="00A27403">
        <w:t>s</w:t>
      </w:r>
      <w:r w:rsidR="0058494E" w:rsidRPr="00511962">
        <w:t xml:space="preserve"> considering the </w:t>
      </w:r>
      <w:r w:rsidR="00A27403">
        <w:t>potential disruptions</w:t>
      </w:r>
      <w:r w:rsidR="0058494E" w:rsidRPr="00511962">
        <w:t xml:space="preserve"> </w:t>
      </w:r>
      <w:r w:rsidR="00552612">
        <w:t>caused by</w:t>
      </w:r>
      <w:r w:rsidR="0029512A">
        <w:t xml:space="preserve"> the </w:t>
      </w:r>
      <w:r w:rsidR="0058494E" w:rsidRPr="00511962">
        <w:t>C</w:t>
      </w:r>
      <w:r w:rsidR="006C08A9">
        <w:t>OVID</w:t>
      </w:r>
      <w:r w:rsidR="0058494E" w:rsidRPr="00511962">
        <w:t xml:space="preserve">-19 pandemic </w:t>
      </w:r>
      <w:r w:rsidR="0029512A">
        <w:t>to</w:t>
      </w:r>
      <w:r w:rsidR="0058494E" w:rsidRPr="00511962">
        <w:t xml:space="preserve"> the survey. </w:t>
      </w:r>
      <w:r w:rsidR="00992CC1" w:rsidRPr="00511962">
        <w:t>Globally, there was a</w:t>
      </w:r>
      <w:r w:rsidR="00261167">
        <w:t>n estimated</w:t>
      </w:r>
      <w:r w:rsidR="00992CC1" w:rsidRPr="00511962">
        <w:t xml:space="preserve"> 50% increase in oral disease </w:t>
      </w:r>
      <w:r w:rsidR="00261167">
        <w:t xml:space="preserve">cases </w:t>
      </w:r>
      <w:r w:rsidR="00992CC1" w:rsidRPr="00511962">
        <w:t xml:space="preserve">between 1990 and 2019, which was higher than the 45% population growth over the period [2]. This trend is expected to </w:t>
      </w:r>
      <w:r w:rsidR="0029512A">
        <w:t>increase</w:t>
      </w:r>
      <w:r w:rsidR="00992CC1" w:rsidRPr="00511962">
        <w:t xml:space="preserve"> in high-income countries as the ageing population</w:t>
      </w:r>
      <w:r w:rsidR="00A84C28" w:rsidRPr="00511962">
        <w:t xml:space="preserve">s results in individuals living longer with chronic diseases [3]. </w:t>
      </w:r>
      <w:r w:rsidR="00280F0B" w:rsidRPr="00511962">
        <w:t xml:space="preserve">Estimations </w:t>
      </w:r>
      <w:r w:rsidR="00695A72" w:rsidRPr="00511962">
        <w:t xml:space="preserve">using multi-state population models </w:t>
      </w:r>
      <w:r w:rsidR="00280F0B" w:rsidRPr="00511962">
        <w:t xml:space="preserve">for periodontal pocketing in the UK </w:t>
      </w:r>
      <w:r w:rsidR="0029512A">
        <w:t>project</w:t>
      </w:r>
      <w:r w:rsidR="00280F0B" w:rsidRPr="00511962">
        <w:t xml:space="preserve"> </w:t>
      </w:r>
      <w:r w:rsidR="000036D2">
        <w:t>an</w:t>
      </w:r>
      <w:r w:rsidR="00280F0B" w:rsidRPr="00511962">
        <w:t xml:space="preserve"> 8.7% increase from 2020 to 2050, with severe pocketing increasing by 56.7% [4]</w:t>
      </w:r>
      <w:r w:rsidR="00695A72" w:rsidRPr="00511962">
        <w:t xml:space="preserve">. </w:t>
      </w:r>
      <w:r w:rsidR="00FC1AB8" w:rsidRPr="00511962">
        <w:t xml:space="preserve">This represents </w:t>
      </w:r>
      <w:r w:rsidR="00A94AEA" w:rsidRPr="00511962">
        <w:t xml:space="preserve">a </w:t>
      </w:r>
      <w:r w:rsidR="000036D2" w:rsidRPr="00511962">
        <w:t>sizable</w:t>
      </w:r>
      <w:r w:rsidR="00A94AEA" w:rsidRPr="00511962">
        <w:t xml:space="preserve"> proportion of the population at risk of PD</w:t>
      </w:r>
      <w:r w:rsidR="00883FB7" w:rsidRPr="00511962">
        <w:t>, a chronic in</w:t>
      </w:r>
      <w:r w:rsidR="00E0162B" w:rsidRPr="00511962">
        <w:t xml:space="preserve">flammatory disease </w:t>
      </w:r>
      <w:r w:rsidR="005B2A0D">
        <w:t>preventable</w:t>
      </w:r>
      <w:r w:rsidR="00E0162B" w:rsidRPr="00511962">
        <w:t xml:space="preserve"> </w:t>
      </w:r>
      <w:r w:rsidR="005B2A0D">
        <w:t xml:space="preserve">in </w:t>
      </w:r>
      <w:r w:rsidR="00E0162B" w:rsidRPr="00511962">
        <w:t xml:space="preserve">early stages </w:t>
      </w:r>
      <w:r w:rsidR="00C449C0">
        <w:t>through targeted</w:t>
      </w:r>
      <w:r w:rsidR="00E0162B" w:rsidRPr="00511962">
        <w:t xml:space="preserve"> </w:t>
      </w:r>
      <w:r w:rsidR="00974F2C" w:rsidRPr="00511962">
        <w:t>oral interventions.</w:t>
      </w:r>
      <w:r w:rsidR="00021C0E">
        <w:t xml:space="preserve"> </w:t>
      </w:r>
    </w:p>
    <w:p w14:paraId="335C14BD" w14:textId="25E8829A" w:rsidR="00695A72" w:rsidRDefault="00817768">
      <w:r w:rsidRPr="00511962">
        <w:t xml:space="preserve">There is substantial evidence </w:t>
      </w:r>
      <w:r w:rsidR="00327A21">
        <w:t xml:space="preserve">that </w:t>
      </w:r>
      <w:r w:rsidRPr="00511962">
        <w:t xml:space="preserve">PD </w:t>
      </w:r>
      <w:r w:rsidR="00327A21">
        <w:t xml:space="preserve">is </w:t>
      </w:r>
      <w:r w:rsidR="00213BA2">
        <w:t>a risk factor for</w:t>
      </w:r>
      <w:r w:rsidR="00974F2C" w:rsidRPr="00511962">
        <w:t xml:space="preserve"> dementia</w:t>
      </w:r>
      <w:r w:rsidR="0080330D">
        <w:t xml:space="preserve"> </w:t>
      </w:r>
      <w:r w:rsidR="009F2D85">
        <w:t>[5,6]</w:t>
      </w:r>
      <w:r w:rsidR="00047559">
        <w:t>.</w:t>
      </w:r>
      <w:r w:rsidR="004D4B47">
        <w:t xml:space="preserve"> </w:t>
      </w:r>
      <w:r w:rsidR="00FA10D8">
        <w:t xml:space="preserve">Although </w:t>
      </w:r>
      <w:r w:rsidR="00CA1E88">
        <w:t xml:space="preserve">PD and dementia share </w:t>
      </w:r>
      <w:r w:rsidR="00166C84">
        <w:t>common</w:t>
      </w:r>
      <w:r w:rsidR="00CA1E88">
        <w:t xml:space="preserve"> risk factors</w:t>
      </w:r>
      <w:r w:rsidR="0084148A">
        <w:t xml:space="preserve"> there is strong evidence </w:t>
      </w:r>
      <w:r w:rsidR="00011F59">
        <w:t>supporting a causal link</w:t>
      </w:r>
      <w:r w:rsidR="0084148A">
        <w:t>.</w:t>
      </w:r>
      <w:r w:rsidR="00CA1E88">
        <w:t xml:space="preserve"> </w:t>
      </w:r>
      <w:r w:rsidR="0033151F">
        <w:t xml:space="preserve">Periodontal infection leads to systemic </w:t>
      </w:r>
      <w:r w:rsidR="000C3F4F">
        <w:t xml:space="preserve">inflammation, </w:t>
      </w:r>
      <w:r w:rsidR="00011F59">
        <w:t>allowing</w:t>
      </w:r>
      <w:r w:rsidR="000C3F4F">
        <w:t xml:space="preserve"> high inflammatory immune responses </w:t>
      </w:r>
      <w:r w:rsidR="00750C0C">
        <w:t>to cross</w:t>
      </w:r>
      <w:r w:rsidR="000C3F4F">
        <w:t xml:space="preserve"> the blood-brain barrier</w:t>
      </w:r>
      <w:r w:rsidR="0026118E">
        <w:t xml:space="preserve"> which activates the microglial cel</w:t>
      </w:r>
      <w:r w:rsidR="00A14710">
        <w:t>l</w:t>
      </w:r>
      <w:r w:rsidR="0026118E">
        <w:t>s in the</w:t>
      </w:r>
      <w:r w:rsidR="00255B85">
        <w:t xml:space="preserve"> </w:t>
      </w:r>
      <w:r w:rsidR="00AF2010">
        <w:t>cerebral cortex</w:t>
      </w:r>
      <w:r w:rsidR="004C76D0">
        <w:t xml:space="preserve">, which may </w:t>
      </w:r>
      <w:r w:rsidR="00750C0C">
        <w:t>contribute to</w:t>
      </w:r>
      <w:r w:rsidR="00E83EA5">
        <w:t xml:space="preserve"> the pat</w:t>
      </w:r>
      <w:r w:rsidR="00936845">
        <w:t>hogenesis of dementia [7</w:t>
      </w:r>
      <w:r w:rsidR="00390FCF">
        <w:t>,8</w:t>
      </w:r>
      <w:r w:rsidR="00936845">
        <w:t>].</w:t>
      </w:r>
      <w:r w:rsidR="00C7320B">
        <w:t xml:space="preserve"> </w:t>
      </w:r>
      <w:r w:rsidR="00A9605D">
        <w:t xml:space="preserve">Dementia patients have </w:t>
      </w:r>
      <w:r w:rsidR="00750C0C">
        <w:t>shown</w:t>
      </w:r>
      <w:r w:rsidR="001675BF">
        <w:t xml:space="preserve"> higher </w:t>
      </w:r>
      <w:r w:rsidR="001675BF">
        <w:rPr>
          <w:i/>
          <w:iCs/>
        </w:rPr>
        <w:t>fusobacterium</w:t>
      </w:r>
      <w:r w:rsidR="001675BF">
        <w:t xml:space="preserve"> loads</w:t>
      </w:r>
      <w:r w:rsidR="00D7302F">
        <w:t>,</w:t>
      </w:r>
      <w:r w:rsidR="001675BF">
        <w:t xml:space="preserve"> </w:t>
      </w:r>
      <w:r w:rsidR="00D7302F">
        <w:t xml:space="preserve">as well as </w:t>
      </w:r>
      <w:r w:rsidR="00D7302F">
        <w:rPr>
          <w:i/>
          <w:iCs/>
        </w:rPr>
        <w:t>C</w:t>
      </w:r>
      <w:r w:rsidR="001675BF">
        <w:rPr>
          <w:i/>
          <w:iCs/>
        </w:rPr>
        <w:t xml:space="preserve">ampylobacter rectus </w:t>
      </w:r>
      <w:r w:rsidR="00B917F7">
        <w:t xml:space="preserve">and </w:t>
      </w:r>
      <w:r w:rsidR="00B917F7">
        <w:rPr>
          <w:i/>
          <w:iCs/>
        </w:rPr>
        <w:t>Porphyromonas gingivalis</w:t>
      </w:r>
      <w:r w:rsidR="00117162">
        <w:t>,</w:t>
      </w:r>
      <w:r w:rsidR="00756734">
        <w:t xml:space="preserve"> </w:t>
      </w:r>
      <w:r w:rsidR="008C2ABF">
        <w:t xml:space="preserve">both species of bacteria </w:t>
      </w:r>
      <w:r w:rsidR="00FD29C3">
        <w:t xml:space="preserve">that are biomarkers for severe </w:t>
      </w:r>
      <w:r w:rsidR="00E1456F">
        <w:t xml:space="preserve">PD </w:t>
      </w:r>
      <w:r w:rsidR="003C590E">
        <w:t>[9].</w:t>
      </w:r>
      <w:r w:rsidR="00BA0B26">
        <w:t xml:space="preserve"> </w:t>
      </w:r>
      <w:r w:rsidR="00AE5FCE">
        <w:t xml:space="preserve">One review found </w:t>
      </w:r>
      <w:r w:rsidR="00343C49">
        <w:t xml:space="preserve">that PD was associated with a 22% higher risk of incident </w:t>
      </w:r>
      <w:r w:rsidR="002361E0">
        <w:t xml:space="preserve">dementia </w:t>
      </w:r>
      <w:r w:rsidR="00BD0715">
        <w:t xml:space="preserve">during a mean follow up of 11 years, </w:t>
      </w:r>
      <w:r w:rsidR="00175DEA">
        <w:t>with another using cohort studies to suggest a relative risk (RR) of 1.18 (1.06-1.31)</w:t>
      </w:r>
      <w:r w:rsidR="009D43C5">
        <w:t xml:space="preserve"> for incident </w:t>
      </w:r>
      <w:r w:rsidR="002361E0">
        <w:t xml:space="preserve">dementia </w:t>
      </w:r>
      <w:r w:rsidR="009D43C5">
        <w:t>in relation to PD [</w:t>
      </w:r>
      <w:r w:rsidR="00C36F52">
        <w:t>6</w:t>
      </w:r>
      <w:r w:rsidR="009D43C5">
        <w:t>,1</w:t>
      </w:r>
      <w:r w:rsidR="00C36F52">
        <w:t>0</w:t>
      </w:r>
      <w:r w:rsidR="009D43C5">
        <w:t>]</w:t>
      </w:r>
      <w:r w:rsidR="005A06AA">
        <w:t xml:space="preserve">. </w:t>
      </w:r>
      <w:r w:rsidR="00C217E7">
        <w:t>There is</w:t>
      </w:r>
      <w:r w:rsidR="006A042F">
        <w:t xml:space="preserve"> bidirectional causality, </w:t>
      </w:r>
      <w:r w:rsidR="003207F2">
        <w:t xml:space="preserve">as an </w:t>
      </w:r>
      <w:r w:rsidR="002555BB">
        <w:t>individual’s</w:t>
      </w:r>
      <w:r w:rsidR="003207F2">
        <w:t xml:space="preserve"> ability </w:t>
      </w:r>
      <w:r w:rsidR="00312ADE">
        <w:t xml:space="preserve">to </w:t>
      </w:r>
      <w:r w:rsidR="006F55AF">
        <w:t>maintain</w:t>
      </w:r>
      <w:r w:rsidR="00312ADE">
        <w:t xml:space="preserve"> their oral health deteriorates with increased dementia symptoms [1</w:t>
      </w:r>
      <w:r w:rsidR="00DC2A51">
        <w:t>1</w:t>
      </w:r>
      <w:r w:rsidR="00312ADE">
        <w:t xml:space="preserve">]. However, </w:t>
      </w:r>
      <w:r w:rsidR="00D90B6D">
        <w:t>trial emulation</w:t>
      </w:r>
      <w:r w:rsidR="00266712">
        <w:t xml:space="preserve"> </w:t>
      </w:r>
      <w:r w:rsidR="003E4FA6">
        <w:t xml:space="preserve">studies </w:t>
      </w:r>
      <w:r w:rsidR="009C0A18">
        <w:t xml:space="preserve">testing </w:t>
      </w:r>
      <w:r w:rsidR="00006FE2">
        <w:t xml:space="preserve">periodontal </w:t>
      </w:r>
      <w:r w:rsidR="003E4FA6">
        <w:t xml:space="preserve">treatments </w:t>
      </w:r>
      <w:r w:rsidR="00C007D8">
        <w:t xml:space="preserve">have shown their ability to </w:t>
      </w:r>
      <w:r w:rsidR="00FE2837">
        <w:t>reduce dementia-related brain atrophy in the treatment arms (-0.41; 95% CI</w:t>
      </w:r>
      <w:r w:rsidR="00DC2A51">
        <w:t xml:space="preserve">; -0.70 to -0.12; </w:t>
      </w:r>
      <w:r w:rsidR="00DC2A51" w:rsidRPr="00AC7BF1">
        <w:rPr>
          <w:i/>
          <w:iCs/>
        </w:rPr>
        <w:t>P</w:t>
      </w:r>
      <w:r w:rsidR="00DC2A51">
        <w:t>= 0.0051) [12].</w:t>
      </w:r>
      <w:r w:rsidR="00D61C14">
        <w:t xml:space="preserve"> </w:t>
      </w:r>
      <w:r w:rsidR="00DA3212">
        <w:t xml:space="preserve">A retrospective cohort study </w:t>
      </w:r>
      <w:r w:rsidR="00B71B12">
        <w:t xml:space="preserve">also </w:t>
      </w:r>
      <w:r w:rsidR="00DA3212">
        <w:t xml:space="preserve">identified that periodontal treatment reduced the risk of </w:t>
      </w:r>
      <w:r w:rsidR="005B5BFD">
        <w:t xml:space="preserve">dementia mortality </w:t>
      </w:r>
      <w:r w:rsidR="00DA3212">
        <w:t>[13].</w:t>
      </w:r>
      <w:r w:rsidR="005B5BFD">
        <w:t xml:space="preserve"> </w:t>
      </w:r>
      <w:r w:rsidR="00DF27A1">
        <w:t>L</w:t>
      </w:r>
      <w:r w:rsidR="00F06244">
        <w:t>ongitudinal cohort stud</w:t>
      </w:r>
      <w:r w:rsidR="00DA3212">
        <w:t>ies</w:t>
      </w:r>
      <w:r w:rsidR="00F06244">
        <w:t xml:space="preserve"> ha</w:t>
      </w:r>
      <w:r w:rsidR="00DE0E83">
        <w:t>ve</w:t>
      </w:r>
      <w:r w:rsidR="00F06244">
        <w:t xml:space="preserve"> </w:t>
      </w:r>
      <w:r w:rsidR="00DB5F31">
        <w:t xml:space="preserve">revealed that </w:t>
      </w:r>
      <w:r w:rsidR="00DA3212">
        <w:t xml:space="preserve">PD </w:t>
      </w:r>
      <w:r w:rsidR="00BD6120">
        <w:t xml:space="preserve">was </w:t>
      </w:r>
      <w:r w:rsidR="007F0166">
        <w:t xml:space="preserve">significantly </w:t>
      </w:r>
      <w:r w:rsidR="00BD6120">
        <w:t xml:space="preserve">associated with </w:t>
      </w:r>
      <w:r w:rsidR="00441414">
        <w:t>increased dementia incidence</w:t>
      </w:r>
      <w:r w:rsidR="00ED064E">
        <w:t xml:space="preserve">, even after </w:t>
      </w:r>
      <w:r w:rsidR="009970D7">
        <w:t>adjusting for major chronic disease</w:t>
      </w:r>
      <w:r w:rsidR="00A06D45">
        <w:t>s</w:t>
      </w:r>
      <w:r w:rsidR="009970D7">
        <w:t xml:space="preserve"> </w:t>
      </w:r>
      <w:r w:rsidR="00ED064E">
        <w:t>[</w:t>
      </w:r>
      <w:r w:rsidR="00F7011C">
        <w:t>14</w:t>
      </w:r>
      <w:r w:rsidR="00BE6175">
        <w:t>,15</w:t>
      </w:r>
      <w:r w:rsidR="00C2417D">
        <w:t>,16</w:t>
      </w:r>
      <w:r w:rsidR="00ED064E">
        <w:t>]</w:t>
      </w:r>
      <w:r w:rsidR="00332EDF">
        <w:t xml:space="preserve">. </w:t>
      </w:r>
      <w:r w:rsidR="00B5027F">
        <w:t xml:space="preserve">These </w:t>
      </w:r>
      <w:r w:rsidR="001A72D3">
        <w:t xml:space="preserve">longitudinal </w:t>
      </w:r>
      <w:r w:rsidR="00B5027F">
        <w:t xml:space="preserve">studies </w:t>
      </w:r>
      <w:r w:rsidR="001A72D3">
        <w:t>were restricted to dementia-free participants at baseline</w:t>
      </w:r>
      <w:r w:rsidR="008C4C9B">
        <w:t xml:space="preserve">, </w:t>
      </w:r>
      <w:r w:rsidR="00616CBF">
        <w:t>minimising</w:t>
      </w:r>
      <w:r w:rsidR="008C4C9B">
        <w:t xml:space="preserve"> reverse causality.</w:t>
      </w:r>
      <w:r w:rsidR="002A076A">
        <w:t xml:space="preserve"> </w:t>
      </w:r>
    </w:p>
    <w:p w14:paraId="48FC1E74" w14:textId="14E710CF" w:rsidR="00E249D4" w:rsidRDefault="00603D1B">
      <w:r>
        <w:t>Dementia costs in England are expected to rise significantly</w:t>
      </w:r>
      <w:r w:rsidR="005068A6">
        <w:t xml:space="preserve">, with one estimate </w:t>
      </w:r>
      <w:r w:rsidR="00616CBF">
        <w:t>forecasting</w:t>
      </w:r>
      <w:r w:rsidR="00F3445A">
        <w:t xml:space="preserve"> a 173% rise from 2019 to 2040, totalling £</w:t>
      </w:r>
      <w:r w:rsidR="00670141">
        <w:t>80</w:t>
      </w:r>
      <w:r w:rsidR="00D554CA">
        <w:t>.</w:t>
      </w:r>
      <w:r w:rsidR="00670141">
        <w:t>4</w:t>
      </w:r>
      <w:r w:rsidR="00D554CA">
        <w:t xml:space="preserve"> billion </w:t>
      </w:r>
      <w:r w:rsidR="00670141">
        <w:t xml:space="preserve">by 2040 [17]. </w:t>
      </w:r>
      <w:r w:rsidR="00CC71D1">
        <w:t>Costs for England</w:t>
      </w:r>
      <w:r w:rsidR="00AB4630">
        <w:t xml:space="preserve"> account for </w:t>
      </w:r>
      <w:r w:rsidR="00CC71D1">
        <w:t>85% of the total 2040 costs</w:t>
      </w:r>
      <w:r w:rsidR="00C13D70" w:rsidRPr="00C13D70">
        <w:t xml:space="preserve"> </w:t>
      </w:r>
      <w:r w:rsidR="00C13D70">
        <w:t>for the UK</w:t>
      </w:r>
      <w:r w:rsidR="00CC71D1">
        <w:t xml:space="preserve">. </w:t>
      </w:r>
      <w:r w:rsidR="00086085">
        <w:t>The same projection gives 1,352,400 million total older</w:t>
      </w:r>
      <w:r w:rsidR="00EC3604">
        <w:t xml:space="preserve"> people living with dementia in England in 2040</w:t>
      </w:r>
      <w:r w:rsidR="00560048">
        <w:t xml:space="preserve">, </w:t>
      </w:r>
      <w:r w:rsidR="00735E25">
        <w:t xml:space="preserve">also </w:t>
      </w:r>
      <w:r w:rsidR="00560048">
        <w:t xml:space="preserve">accounting for </w:t>
      </w:r>
      <w:r w:rsidR="005B4531">
        <w:t>85% of the UK’s total burden</w:t>
      </w:r>
      <w:r w:rsidR="00EC3604">
        <w:t>.</w:t>
      </w:r>
      <w:r w:rsidR="00543437">
        <w:t xml:space="preserve"> </w:t>
      </w:r>
      <w:r w:rsidR="00680D3E">
        <w:t xml:space="preserve">Approximately 45% </w:t>
      </w:r>
      <w:r w:rsidR="00ED4E82">
        <w:t xml:space="preserve">of all dementia cases are attributable to </w:t>
      </w:r>
      <w:r w:rsidR="00116DEF">
        <w:t>preventable</w:t>
      </w:r>
      <w:r w:rsidR="00ED4E82">
        <w:t xml:space="preserve"> risk factors [1</w:t>
      </w:r>
      <w:r w:rsidR="000D434F">
        <w:t>8</w:t>
      </w:r>
      <w:r w:rsidR="00ED4E82">
        <w:t xml:space="preserve">]. </w:t>
      </w:r>
      <w:r w:rsidR="00497A23">
        <w:t xml:space="preserve">Modelling </w:t>
      </w:r>
      <w:r w:rsidR="002C0725">
        <w:t xml:space="preserve">the effects of </w:t>
      </w:r>
      <w:r w:rsidR="00BA6AE7">
        <w:t>population-</w:t>
      </w:r>
      <w:r w:rsidR="00BA6AE7">
        <w:lastRenderedPageBreak/>
        <w:t xml:space="preserve">based interventions </w:t>
      </w:r>
      <w:r w:rsidR="00615C19">
        <w:t xml:space="preserve">on dementia risk factors </w:t>
      </w:r>
      <w:r w:rsidR="00BA6AE7">
        <w:t xml:space="preserve">can provide </w:t>
      </w:r>
      <w:r w:rsidR="002D1DFD">
        <w:t xml:space="preserve">estimates </w:t>
      </w:r>
      <w:r w:rsidR="00AC7BF1">
        <w:t>of potential cost-saving</w:t>
      </w:r>
      <w:r w:rsidR="001B6FB3">
        <w:t xml:space="preserve">. </w:t>
      </w:r>
      <w:r w:rsidR="00841755">
        <w:t>For example, r</w:t>
      </w:r>
      <w:r w:rsidR="009F4B54">
        <w:t>aising cigarette prices</w:t>
      </w:r>
      <w:r w:rsidR="00D41FD0">
        <w:t xml:space="preserve"> by 10% </w:t>
      </w:r>
      <w:r w:rsidR="00C43787">
        <w:t>has been estimated to</w:t>
      </w:r>
      <w:r w:rsidR="00D41FD0">
        <w:t xml:space="preserve"> lead to 2</w:t>
      </w:r>
      <w:r w:rsidR="00841755">
        <w:t>,</w:t>
      </w:r>
      <w:r w:rsidR="00D41FD0">
        <w:t xml:space="preserve">277 quality-adjusted life years (QALYs) gained and </w:t>
      </w:r>
      <w:r w:rsidR="000A7B93">
        <w:t xml:space="preserve">cost-saving of £157 million </w:t>
      </w:r>
      <w:r w:rsidR="00E43A25">
        <w:t xml:space="preserve">in England </w:t>
      </w:r>
      <w:r w:rsidR="000A7B93">
        <w:t>[1</w:t>
      </w:r>
      <w:r w:rsidR="000D434F">
        <w:t>9</w:t>
      </w:r>
      <w:r w:rsidR="000A7B93">
        <w:t>].</w:t>
      </w:r>
      <w:r w:rsidR="0035165B">
        <w:t xml:space="preserve"> </w:t>
      </w:r>
      <w:r w:rsidR="00C43787">
        <w:t xml:space="preserve">If hypertension prevalence </w:t>
      </w:r>
      <w:r w:rsidR="007D12CE">
        <w:t xml:space="preserve">fell </w:t>
      </w:r>
      <w:r w:rsidR="00786AEF">
        <w:t xml:space="preserve">in England and Wales </w:t>
      </w:r>
      <w:r w:rsidR="007D12CE">
        <w:t xml:space="preserve">by 50% between 2027 and 2060, an estimated 57 fewer deaths per 100,000 </w:t>
      </w:r>
      <w:r w:rsidR="00EA125F">
        <w:t>population</w:t>
      </w:r>
      <w:r w:rsidR="00A75EDB">
        <w:t xml:space="preserve"> </w:t>
      </w:r>
      <w:r w:rsidR="0048755E">
        <w:t>but an increase of 9 more dementia cases per 100,000 is expected [</w:t>
      </w:r>
      <w:r w:rsidR="00ED4E82">
        <w:t>20</w:t>
      </w:r>
      <w:r w:rsidR="0048755E">
        <w:t>].</w:t>
      </w:r>
      <w:r w:rsidR="00170ED0">
        <w:t xml:space="preserve"> </w:t>
      </w:r>
      <w:r w:rsidR="0080350B">
        <w:t xml:space="preserve">This highlights the </w:t>
      </w:r>
      <w:r w:rsidR="00654D3D">
        <w:t>inter</w:t>
      </w:r>
      <w:r w:rsidR="00841755">
        <w:t>play</w:t>
      </w:r>
      <w:r w:rsidR="00654D3D">
        <w:t xml:space="preserve"> </w:t>
      </w:r>
      <w:r w:rsidR="000029C2" w:rsidRPr="000029C2">
        <w:t>between reduced risk factor prevalence and extended life expectancy, which may raise overall dementia prevalence.</w:t>
      </w:r>
      <w:r w:rsidR="00EC77A9">
        <w:t xml:space="preserve"> </w:t>
      </w:r>
      <w:r w:rsidR="001E0DDA">
        <w:t>A</w:t>
      </w:r>
      <w:r w:rsidR="003F6762">
        <w:t xml:space="preserve"> 50% reduction in the current </w:t>
      </w:r>
      <w:r w:rsidR="00BC2DDF">
        <w:t xml:space="preserve">global </w:t>
      </w:r>
      <w:r w:rsidR="003F6762">
        <w:t xml:space="preserve">prevalence of </w:t>
      </w:r>
      <w:r w:rsidR="00C77DE1">
        <w:t xml:space="preserve">PD could </w:t>
      </w:r>
      <w:r w:rsidR="009034D3">
        <w:t>prevent</w:t>
      </w:r>
      <w:r w:rsidR="00C77DE1">
        <w:t xml:space="preserve"> 850,000 individuals </w:t>
      </w:r>
      <w:r w:rsidR="009034D3">
        <w:t xml:space="preserve">from developing </w:t>
      </w:r>
      <w:r w:rsidR="00C77DE1">
        <w:t xml:space="preserve">dementia </w:t>
      </w:r>
      <w:r w:rsidR="002D0BB0">
        <w:t>[</w:t>
      </w:r>
      <w:r w:rsidR="006C08A9">
        <w:t>6</w:t>
      </w:r>
      <w:r w:rsidR="002D0BB0">
        <w:t xml:space="preserve">]. </w:t>
      </w:r>
      <w:r w:rsidR="00E249D4" w:rsidRPr="00E249D4">
        <w:t>Given the strong evidence linking periodontal disease to dementia and the projected rise in dementia-related costs, estimating the effects of reducing periodontal disease prevalence is essential to inform prevention strategies.</w:t>
      </w:r>
      <w:r w:rsidR="00C70239">
        <w:t xml:space="preserve"> </w:t>
      </w:r>
    </w:p>
    <w:p w14:paraId="05FBA705" w14:textId="3AABDD45" w:rsidR="00CB69E5" w:rsidRDefault="00A14268">
      <w:r>
        <w:t>W</w:t>
      </w:r>
      <w:r w:rsidR="00011DE2">
        <w:t xml:space="preserve">e </w:t>
      </w:r>
      <w:r w:rsidR="00447CB8">
        <w:t>use a</w:t>
      </w:r>
      <w:r w:rsidR="00B40741">
        <w:t>n individual-level</w:t>
      </w:r>
      <w:r w:rsidR="00447CB8">
        <w:t xml:space="preserve"> microsimulation model </w:t>
      </w:r>
      <w:r w:rsidR="00B40741">
        <w:t xml:space="preserve">to estimate the </w:t>
      </w:r>
      <w:r w:rsidR="00434218">
        <w:t xml:space="preserve">costs and benefits associated with </w:t>
      </w:r>
      <w:r w:rsidR="002F2651">
        <w:t>changes in PD prevalence on future dementia outcomes</w:t>
      </w:r>
      <w:r w:rsidR="005504EA">
        <w:t>.</w:t>
      </w:r>
      <w:r w:rsidR="0025464D">
        <w:t xml:space="preserve"> </w:t>
      </w:r>
      <w:r w:rsidR="00C0032C">
        <w:t xml:space="preserve">We start with the current estimated PD </w:t>
      </w:r>
      <w:r w:rsidR="00442A71">
        <w:t>prevalence</w:t>
      </w:r>
      <w:r w:rsidR="00C0032C">
        <w:t xml:space="preserve"> of 50%, then test a best</w:t>
      </w:r>
      <w:r w:rsidR="00442A71">
        <w:t xml:space="preserve">- </w:t>
      </w:r>
      <w:r w:rsidR="00B41560">
        <w:t>and</w:t>
      </w:r>
      <w:r w:rsidR="00C0032C">
        <w:t xml:space="preserve"> worst</w:t>
      </w:r>
      <w:r w:rsidR="00442A71">
        <w:t>-</w:t>
      </w:r>
      <w:r w:rsidR="00C0032C">
        <w:t xml:space="preserve">case </w:t>
      </w:r>
      <w:r w:rsidR="00442A71">
        <w:t xml:space="preserve">scenario </w:t>
      </w:r>
      <w:r>
        <w:t>of 25% and</w:t>
      </w:r>
      <w:r w:rsidR="00C0032C">
        <w:t xml:space="preserve"> 75%. </w:t>
      </w:r>
      <w:r w:rsidR="0025464D">
        <w:t>This will</w:t>
      </w:r>
      <w:r w:rsidR="00C32A6B">
        <w:t xml:space="preserve"> </w:t>
      </w:r>
      <w:r w:rsidR="00551A9E">
        <w:t>account for the effects of other dementia risk factors on bot</w:t>
      </w:r>
      <w:r w:rsidR="00F30755">
        <w:t>h dementia and mortality risk.</w:t>
      </w:r>
      <w:r w:rsidR="006C08A9">
        <w:t xml:space="preserve"> </w:t>
      </w:r>
    </w:p>
    <w:p w14:paraId="22BE26C0" w14:textId="77777777" w:rsidR="00C52C83" w:rsidRDefault="00C52C83"/>
    <w:p w14:paraId="2B68BC8E" w14:textId="77777777" w:rsidR="00D363A6" w:rsidRPr="00511962" w:rsidRDefault="00D363A6"/>
    <w:p w14:paraId="335121B1" w14:textId="77777777" w:rsidR="00D363A6" w:rsidRPr="00511962" w:rsidRDefault="00D363A6"/>
    <w:p w14:paraId="7DA97742" w14:textId="77777777" w:rsidR="00CB69E5" w:rsidRPr="00511962" w:rsidRDefault="00CB69E5"/>
    <w:p w14:paraId="655759CA" w14:textId="77777777" w:rsidR="00CB69E5" w:rsidRPr="00511962" w:rsidRDefault="00CB69E5"/>
    <w:p w14:paraId="083512C9" w14:textId="77777777" w:rsidR="00CB69E5" w:rsidRPr="00511962" w:rsidRDefault="00CB69E5">
      <w:pPr>
        <w:rPr>
          <w:b/>
          <w:bCs/>
        </w:rPr>
      </w:pPr>
    </w:p>
    <w:p w14:paraId="62CC65F0" w14:textId="77777777" w:rsidR="00CB69E5" w:rsidRPr="00511962" w:rsidRDefault="00CB69E5">
      <w:pPr>
        <w:rPr>
          <w:b/>
          <w:bCs/>
        </w:rPr>
      </w:pPr>
    </w:p>
    <w:p w14:paraId="0F6BD1C0" w14:textId="77777777" w:rsidR="00CB69E5" w:rsidRDefault="00CB69E5">
      <w:pPr>
        <w:rPr>
          <w:b/>
          <w:bCs/>
        </w:rPr>
      </w:pPr>
    </w:p>
    <w:p w14:paraId="7F1153D0" w14:textId="77777777" w:rsidR="00BB4844" w:rsidRDefault="00BB4844">
      <w:pPr>
        <w:rPr>
          <w:b/>
          <w:bCs/>
        </w:rPr>
      </w:pPr>
    </w:p>
    <w:p w14:paraId="151B68DF" w14:textId="77777777" w:rsidR="00DF27A1" w:rsidRDefault="00DF27A1">
      <w:pPr>
        <w:rPr>
          <w:b/>
          <w:bCs/>
        </w:rPr>
      </w:pPr>
    </w:p>
    <w:p w14:paraId="3C643B45" w14:textId="77777777" w:rsidR="00DF27A1" w:rsidRDefault="00DF27A1">
      <w:pPr>
        <w:rPr>
          <w:b/>
          <w:bCs/>
        </w:rPr>
      </w:pPr>
    </w:p>
    <w:p w14:paraId="03E0A1E2" w14:textId="77777777" w:rsidR="00BB4844" w:rsidRPr="00511962" w:rsidRDefault="00BB4844">
      <w:pPr>
        <w:rPr>
          <w:b/>
          <w:bCs/>
        </w:rPr>
      </w:pPr>
    </w:p>
    <w:p w14:paraId="38A68D37" w14:textId="566F85C6" w:rsidR="00CB69E5" w:rsidRPr="00511962" w:rsidRDefault="00CB69E5">
      <w:pPr>
        <w:rPr>
          <w:b/>
          <w:bCs/>
        </w:rPr>
      </w:pPr>
      <w:r w:rsidRPr="00511962">
        <w:rPr>
          <w:b/>
          <w:bCs/>
        </w:rPr>
        <w:t>References</w:t>
      </w:r>
    </w:p>
    <w:p w14:paraId="6A3661AE" w14:textId="1E56BC81" w:rsidR="00C4617C" w:rsidRPr="00511962" w:rsidRDefault="00CB69E5">
      <w:r w:rsidRPr="00511962">
        <w:t xml:space="preserve">[1] </w:t>
      </w:r>
      <w:r w:rsidR="0058494E" w:rsidRPr="00511962">
        <w:t xml:space="preserve">Office for Health Improvement and Disparities. </w:t>
      </w:r>
      <w:r w:rsidR="0058494E" w:rsidRPr="00511962">
        <w:rPr>
          <w:i/>
          <w:iCs/>
        </w:rPr>
        <w:t>Adult Oral Health Survey 2021: a report on the main findings of the 2021 Adult Oral Health Survey.</w:t>
      </w:r>
      <w:r w:rsidR="0058494E" w:rsidRPr="00511962">
        <w:t xml:space="preserve"> London: Office for Health Improvement and Disparities; 2024 Jan 25. Available from: </w:t>
      </w:r>
      <w:hyperlink r:id="rId4" w:history="1">
        <w:r w:rsidR="0058494E" w:rsidRPr="00511962">
          <w:rPr>
            <w:rStyle w:val="Hyperlink"/>
          </w:rPr>
          <w:t>https://www.gov.uk/government/statistics/adult-oral-health-survey-2021</w:t>
        </w:r>
      </w:hyperlink>
      <w:r w:rsidR="0058494E" w:rsidRPr="00511962">
        <w:t xml:space="preserve"> </w:t>
      </w:r>
    </w:p>
    <w:p w14:paraId="06B2C869" w14:textId="63325CE1" w:rsidR="00992CC1" w:rsidRPr="00511962" w:rsidRDefault="00992CC1">
      <w:r w:rsidRPr="00511962">
        <w:lastRenderedPageBreak/>
        <w:t xml:space="preserve">[2] World Health Organization. </w:t>
      </w:r>
      <w:r w:rsidRPr="00511962">
        <w:rPr>
          <w:i/>
          <w:iCs/>
        </w:rPr>
        <w:t>Global oral health status report: towards universal health coverage for oral health by 2030.</w:t>
      </w:r>
      <w:r w:rsidRPr="00511962">
        <w:t xml:space="preserve"> Geneva: World Health Organization; 2022.</w:t>
      </w:r>
    </w:p>
    <w:p w14:paraId="2CF5FF12" w14:textId="55CF353A" w:rsidR="00A84C28" w:rsidRPr="00511962" w:rsidRDefault="00A84C28">
      <w:r w:rsidRPr="00511962">
        <w:t xml:space="preserve">[3] United Nations Department of Economic and Social Affairs, Population Division. </w:t>
      </w:r>
      <w:r w:rsidRPr="00511962">
        <w:rPr>
          <w:i/>
          <w:iCs/>
        </w:rPr>
        <w:t>World population prospects.</w:t>
      </w:r>
      <w:r w:rsidRPr="00511962">
        <w:t xml:space="preserve"> 2022 [Accessed October 21 2025]. Available from: </w:t>
      </w:r>
      <w:hyperlink r:id="rId5" w:history="1">
        <w:r w:rsidR="00280F0B" w:rsidRPr="00511962">
          <w:rPr>
            <w:rStyle w:val="Hyperlink"/>
          </w:rPr>
          <w:t>https://population.un.org/wpp/Download/Standard/Population/</w:t>
        </w:r>
      </w:hyperlink>
    </w:p>
    <w:p w14:paraId="01FA72F5" w14:textId="68412CBE" w:rsidR="00280F0B" w:rsidRDefault="00280F0B">
      <w:r w:rsidRPr="00511962">
        <w:t xml:space="preserve">[4] Elamin A, Ansah JP. Projecting the burden of dental caries and periodontal diseases among the adult population in the United Kingdom using a multi-state population model. </w:t>
      </w:r>
      <w:r w:rsidRPr="00511962">
        <w:rPr>
          <w:i/>
          <w:iCs/>
        </w:rPr>
        <w:t>Front Public Health</w:t>
      </w:r>
      <w:r w:rsidRPr="00511962">
        <w:t>. 2023;11:1190197. doi:10.3389/fpubh.2023.1190197</w:t>
      </w:r>
    </w:p>
    <w:p w14:paraId="3CA17BAF" w14:textId="255BF6EF" w:rsidR="009F2D85" w:rsidRDefault="009F2D85">
      <w:r>
        <w:t>[5]</w:t>
      </w:r>
      <w:r w:rsidR="0092041F">
        <w:t xml:space="preserve"> </w:t>
      </w:r>
      <w:r w:rsidR="0092041F" w:rsidRPr="0092041F">
        <w:t xml:space="preserve">Pazos P, Leira Y, Domínguez C, Pías-Peleteiro JM, Blanco J, Aldrey JM. Association between periodontal disease and dementia: a literature review. </w:t>
      </w:r>
      <w:r w:rsidR="0092041F" w:rsidRPr="0092041F">
        <w:rPr>
          <w:i/>
          <w:iCs/>
        </w:rPr>
        <w:t>Neurologia (Engl Ed)</w:t>
      </w:r>
      <w:r w:rsidR="0092041F" w:rsidRPr="0092041F">
        <w:t>. 2018;33(9):602–613. doi:10.1016/j.nrleng.2016.09.017</w:t>
      </w:r>
    </w:p>
    <w:p w14:paraId="6EBE849A" w14:textId="41ABB448" w:rsidR="009F2D85" w:rsidRDefault="009F2D85">
      <w:r>
        <w:t>[6]</w:t>
      </w:r>
      <w:r w:rsidR="0092041F">
        <w:t xml:space="preserve"> </w:t>
      </w:r>
      <w:r w:rsidR="00F12D31" w:rsidRPr="00F12D31">
        <w:t xml:space="preserve">Nadim R, Tang J, Dilmohamed A, Yuan S, Wu C, Bakre AT, Partridge M, Ni J, Copeland JR, Anstey KJ, Chen R. Influence of periodontal disease on risk of dementia. </w:t>
      </w:r>
      <w:r w:rsidR="00F12D31" w:rsidRPr="00F12D31">
        <w:rPr>
          <w:i/>
          <w:iCs/>
        </w:rPr>
        <w:t>European journal of epidemiology</w:t>
      </w:r>
      <w:r w:rsidR="00F12D31" w:rsidRPr="00F12D31">
        <w:t>. 2020;35(9):821-33.</w:t>
      </w:r>
    </w:p>
    <w:p w14:paraId="53672170" w14:textId="0DFD1386" w:rsidR="00936845" w:rsidRDefault="00936845">
      <w:r>
        <w:t xml:space="preserve">[7] </w:t>
      </w:r>
      <w:r w:rsidR="00327A74" w:rsidRPr="00327A74">
        <w:t xml:space="preserve">Watts A, Crimmins EM, Gatz M. Inflammation as a potential mediator for the association between periodontal disease and Alzheimer’s disease. </w:t>
      </w:r>
      <w:r w:rsidR="00327A74" w:rsidRPr="00327A74">
        <w:rPr>
          <w:i/>
          <w:iCs/>
        </w:rPr>
        <w:t>Neuropsychiatr Dis Treat</w:t>
      </w:r>
      <w:r w:rsidR="00327A74" w:rsidRPr="00327A74">
        <w:t>. 2008;4(5):865–876. doi:10.2147/ndt.s3610</w:t>
      </w:r>
    </w:p>
    <w:p w14:paraId="5623C3A6" w14:textId="7F54EF73" w:rsidR="00327A74" w:rsidRDefault="00327A74">
      <w:r>
        <w:t xml:space="preserve">[8] </w:t>
      </w:r>
      <w:r w:rsidR="00163E0F" w:rsidRPr="00163E0F">
        <w:t xml:space="preserve">Carter CJ, France J, Crean S, Singhrao SK. The Porphyromonas gingivalis/host interactome shows enrichment in GWASdb genes related to Alzheimer’s disease, diabetes and cardiovascular diseases. </w:t>
      </w:r>
      <w:r w:rsidR="00163E0F" w:rsidRPr="00163E0F">
        <w:rPr>
          <w:i/>
          <w:iCs/>
        </w:rPr>
        <w:t>Front Aging Neurosci</w:t>
      </w:r>
      <w:r w:rsidR="00163E0F" w:rsidRPr="00163E0F">
        <w:t>. 2017;9:408. doi:10.3389/fnagi.2017.00408</w:t>
      </w:r>
    </w:p>
    <w:p w14:paraId="3BDE885C" w14:textId="5749E9DB" w:rsidR="003C590E" w:rsidRDefault="003C590E">
      <w:r>
        <w:t xml:space="preserve">[9] </w:t>
      </w:r>
      <w:r w:rsidR="00BA0B26" w:rsidRPr="00BA0B26">
        <w:t xml:space="preserve">Borsa L, Dubois M, Sacco G, Lupi L. Analysis of the link between periodontal diseases and Alzheimer’s disease: a systematic review. </w:t>
      </w:r>
      <w:r w:rsidR="00BA0B26" w:rsidRPr="00BA0B26">
        <w:rPr>
          <w:i/>
          <w:iCs/>
        </w:rPr>
        <w:t>Int J Environ Res Public Health</w:t>
      </w:r>
      <w:r w:rsidR="00BA0B26" w:rsidRPr="00BA0B26">
        <w:t>. 2021;18(17):9312. doi:10.3390/ijerph18179312</w:t>
      </w:r>
    </w:p>
    <w:p w14:paraId="38F3A06E" w14:textId="7F0BB95F" w:rsidR="009D43C5" w:rsidRDefault="009D43C5">
      <w:r>
        <w:t xml:space="preserve">[10] </w:t>
      </w:r>
      <w:r w:rsidR="008C2D4C" w:rsidRPr="008C2D4C">
        <w:t xml:space="preserve">Dibello V, Custodero C, Cavalcanti R, Lafornara D, Dibello A, Lozupone M, Daniele A, Pilotto A, Panza F, Solfrizzi V. Impact of periodontal disease on cognitive disorders, dementia, and depression: a systematic review and meta-analysis. </w:t>
      </w:r>
      <w:r w:rsidR="008C2D4C" w:rsidRPr="008C2D4C">
        <w:rPr>
          <w:i/>
          <w:iCs/>
        </w:rPr>
        <w:t>Geroscience</w:t>
      </w:r>
      <w:r w:rsidR="008C2D4C" w:rsidRPr="008C2D4C">
        <w:t>. 2024;46(5):5133–5169. doi:10.1007/s11357-024-01237-1</w:t>
      </w:r>
    </w:p>
    <w:p w14:paraId="6924BFE8" w14:textId="1CC6FFCF" w:rsidR="00312ADE" w:rsidRPr="00EC6DC6" w:rsidRDefault="00312ADE">
      <w:pPr>
        <w:rPr>
          <w:lang w:val="de-DE"/>
        </w:rPr>
      </w:pPr>
      <w:r>
        <w:t>[1</w:t>
      </w:r>
      <w:r w:rsidR="00C36F52">
        <w:t>1</w:t>
      </w:r>
      <w:r>
        <w:t xml:space="preserve">] </w:t>
      </w:r>
      <w:r w:rsidR="00A5391D" w:rsidRPr="00A5391D">
        <w:t xml:space="preserve">Gao C, Kang J. Oral diseases are associated with cognitive decline and dementia. In: Oral microbiome: symbiosis, dysbiosis and microbiome interventions for maintaining oral and systemic health. </w:t>
      </w:r>
      <w:r w:rsidR="00A5391D" w:rsidRPr="00EC6DC6">
        <w:rPr>
          <w:lang w:val="de-DE"/>
        </w:rPr>
        <w:t>2025 Mar 21. p.171–183. doi:10.1007/978-3-031-55574-7_11</w:t>
      </w:r>
    </w:p>
    <w:p w14:paraId="66E1D325" w14:textId="7C6F913F" w:rsidR="00DC2A51" w:rsidRDefault="00DC2A51">
      <w:r w:rsidRPr="00D61C14">
        <w:rPr>
          <w:lang w:val="de-DE"/>
        </w:rPr>
        <w:t xml:space="preserve">[12] </w:t>
      </w:r>
      <w:r w:rsidR="00D61C14" w:rsidRPr="00D61C14">
        <w:rPr>
          <w:lang w:val="de-DE"/>
        </w:rPr>
        <w:t xml:space="preserve">Schwahn C, Frenzel S, Holtfreter B, et al. </w:t>
      </w:r>
      <w:r w:rsidR="00D61C14" w:rsidRPr="00D61C14">
        <w:t xml:space="preserve">Effect of periodontal treatment on preclinical Alzheimer’s disease—results of a trial emulation approach. </w:t>
      </w:r>
      <w:r w:rsidR="00D61C14" w:rsidRPr="00D61C14">
        <w:rPr>
          <w:i/>
          <w:iCs/>
        </w:rPr>
        <w:t>Alzheimers Dement</w:t>
      </w:r>
      <w:r w:rsidR="00D61C14" w:rsidRPr="00D61C14">
        <w:t>. 2022;18:127–141. doi:10.1002/alz.12378</w:t>
      </w:r>
    </w:p>
    <w:p w14:paraId="14059C12" w14:textId="6BBBB002" w:rsidR="001A4180" w:rsidRDefault="001A4180">
      <w:r>
        <w:lastRenderedPageBreak/>
        <w:t xml:space="preserve">[13] </w:t>
      </w:r>
      <w:r w:rsidRPr="001A4180">
        <w:t xml:space="preserve">Ho HA, Kim BR, Shin H. Association of periodontal disease treatment with mortality in patients with dementia: a population-based retrospective cohort study (2002–2018). </w:t>
      </w:r>
      <w:r w:rsidRPr="001A4180">
        <w:rPr>
          <w:i/>
          <w:iCs/>
        </w:rPr>
        <w:t>Sci Rep</w:t>
      </w:r>
      <w:r w:rsidRPr="001A4180">
        <w:t>. 2024;14:5243. doi:10.1038/s41598-024-55272-6</w:t>
      </w:r>
    </w:p>
    <w:p w14:paraId="4858C5F4" w14:textId="464FDBEE" w:rsidR="00D319B3" w:rsidRDefault="00D319B3">
      <w:r w:rsidRPr="00EC6DC6">
        <w:t xml:space="preserve">[14] </w:t>
      </w:r>
      <w:r w:rsidR="00F7011C" w:rsidRPr="00EC6DC6">
        <w:t xml:space="preserve">Chen CK, Wu YT, Chang YC. </w:t>
      </w:r>
      <w:r w:rsidR="00F7011C" w:rsidRPr="00F7011C">
        <w:t xml:space="preserve">Association between chronic periodontitis and the risk of Alzheimer’s disease: a retrospective, population-based, matched-cohort study. </w:t>
      </w:r>
      <w:r w:rsidR="00F7011C" w:rsidRPr="00F7011C">
        <w:rPr>
          <w:i/>
          <w:iCs/>
        </w:rPr>
        <w:t>Alzheimers Res Ther</w:t>
      </w:r>
      <w:r w:rsidR="00F7011C" w:rsidRPr="00F7011C">
        <w:t>. 2017;9(1):56. doi:10.1186/s13195-017-0282-6</w:t>
      </w:r>
    </w:p>
    <w:p w14:paraId="7CE067A8" w14:textId="14292EF5" w:rsidR="00BE6175" w:rsidRDefault="00BE6175">
      <w:r>
        <w:t xml:space="preserve">[15] </w:t>
      </w:r>
      <w:r w:rsidR="002A076A" w:rsidRPr="002A076A">
        <w:t xml:space="preserve">Lee YT, Lee HC, Hu CJ, Huang LK, Chao SP, Lin CP, Su EC, Lee YC, Chen CC. Periodontitis as a modifiable risk factor for dementia: a nationwide population-based cohort study. </w:t>
      </w:r>
      <w:r w:rsidR="002A076A" w:rsidRPr="002A076A">
        <w:rPr>
          <w:i/>
          <w:iCs/>
        </w:rPr>
        <w:t>J Am Geriatr Soc</w:t>
      </w:r>
      <w:r w:rsidR="002A076A" w:rsidRPr="002A076A">
        <w:t>. 2017;65(2):301–305. doi:10.1111/jgs.14517</w:t>
      </w:r>
    </w:p>
    <w:p w14:paraId="0953BE1C" w14:textId="2198C61F" w:rsidR="00C2417D" w:rsidRDefault="00C2417D">
      <w:r>
        <w:t xml:space="preserve">[16] </w:t>
      </w:r>
      <w:r w:rsidR="005C0FA3" w:rsidRPr="005C0FA3">
        <w:t xml:space="preserve">Choi S, Kim K, Chang J, Kim SM, Kim SJ, Cho HJ, Park SM. Association of chronic periodontitis with Alzheimer’s disease or vascular dementia. </w:t>
      </w:r>
      <w:r w:rsidR="005C0FA3" w:rsidRPr="005C0FA3">
        <w:rPr>
          <w:i/>
          <w:iCs/>
        </w:rPr>
        <w:t>J Am Geriatr Soc</w:t>
      </w:r>
      <w:r w:rsidR="005C0FA3" w:rsidRPr="005C0FA3">
        <w:t>. 2019;67(6):1234–1239. doi:10.1111/jgs.15802</w:t>
      </w:r>
    </w:p>
    <w:p w14:paraId="312576C6" w14:textId="43DB1E9F" w:rsidR="00670141" w:rsidRDefault="00670141">
      <w:r>
        <w:t xml:space="preserve">[17] </w:t>
      </w:r>
      <w:r w:rsidR="00262D9E" w:rsidRPr="00262D9E">
        <w:t xml:space="preserve">Wittenberg R, Hu B, Barraza-Araiza L, Rehill A. </w:t>
      </w:r>
      <w:r w:rsidR="00262D9E" w:rsidRPr="00262D9E">
        <w:rPr>
          <w:i/>
          <w:iCs/>
        </w:rPr>
        <w:t>Projections of older people living with dementia and costs of dementia care in the United Kingdom, 2019–2040</w:t>
      </w:r>
      <w:r w:rsidR="00262D9E" w:rsidRPr="00262D9E">
        <w:t>. London: Care Policy and Evaluation Centre, London School of Economics and Political Science; 2019 Nov. Report No.: 79.</w:t>
      </w:r>
    </w:p>
    <w:p w14:paraId="2CF00D76" w14:textId="3562629D" w:rsidR="00ED4E82" w:rsidRDefault="00ED4E82">
      <w:r>
        <w:t xml:space="preserve">[18] </w:t>
      </w:r>
      <w:r w:rsidR="00B9767B" w:rsidRPr="00B9767B">
        <w:t xml:space="preserve">Livingston G, Huntley J, Liu KY, Costafreda SG, Selbæk G, Alladi S, Ames D, Banerjee S, Burns A, Brayne C, Fox NC. Dementia prevention, intervention, and care: 2024 report of the Lancet Standing Commission. </w:t>
      </w:r>
      <w:r w:rsidR="00B9767B" w:rsidRPr="00B9767B">
        <w:rPr>
          <w:i/>
          <w:iCs/>
        </w:rPr>
        <w:t>Lancet</w:t>
      </w:r>
      <w:r w:rsidR="00B9767B" w:rsidRPr="00B9767B">
        <w:t>. 2024;404(10452):572–628. doi:10.1016/S0140-6736(24)01302-2</w:t>
      </w:r>
    </w:p>
    <w:p w14:paraId="0D3EA516" w14:textId="4928C5DB" w:rsidR="00CE5365" w:rsidRDefault="00CE5365">
      <w:r>
        <w:t>[1</w:t>
      </w:r>
      <w:r w:rsidR="00ED4E82">
        <w:t>9</w:t>
      </w:r>
      <w:r>
        <w:t xml:space="preserve">] </w:t>
      </w:r>
      <w:r w:rsidR="00D510F8" w:rsidRPr="00D510F8">
        <w:t xml:space="preserve">Mukadam N, Anderson R, Walsh S, Wittenberg R, Knapp M, Brayne C, Livingston G. Benefits of population-level interventions for dementia risk factors: an economic modelling study for England. </w:t>
      </w:r>
      <w:r w:rsidR="00D510F8" w:rsidRPr="00D510F8">
        <w:rPr>
          <w:i/>
          <w:iCs/>
        </w:rPr>
        <w:t>Lancet Healthy Longev</w:t>
      </w:r>
      <w:r w:rsidR="00D510F8" w:rsidRPr="00D510F8">
        <w:t>. 2024;5(9):e567–e577. doi:10.1016/S2666-7568(24)00156-3</w:t>
      </w:r>
    </w:p>
    <w:p w14:paraId="1F36AA48" w14:textId="480DA831" w:rsidR="00170ED0" w:rsidRDefault="00170ED0">
      <w:r>
        <w:t>[</w:t>
      </w:r>
      <w:r w:rsidR="00ED4E82">
        <w:t>20</w:t>
      </w:r>
      <w:r>
        <w:t xml:space="preserve">] </w:t>
      </w:r>
      <w:r w:rsidRPr="00170ED0">
        <w:t xml:space="preserve">Chen Y, Araghi M, Bandosz P, Shipley MJ, Ahmadi-Abhari S, Lobanov-Rostovsky S, Venkatraman T, Kivimaki M, O’Flaherty M, Brunner EJ. Impact of hypertension prevalence trend on mortality and burdens of dementia and disability in England and Wales to 2060: a simulation modelling study. </w:t>
      </w:r>
      <w:r w:rsidRPr="00170ED0">
        <w:rPr>
          <w:i/>
          <w:iCs/>
        </w:rPr>
        <w:t>Lancet Healthy Longev</w:t>
      </w:r>
      <w:r w:rsidRPr="00170ED0">
        <w:t>. 2023;4(9):e470–e477. doi:10.1016/S2666-7568(23)00163-5</w:t>
      </w:r>
    </w:p>
    <w:p w14:paraId="5C129978" w14:textId="77777777" w:rsidR="008F3825" w:rsidRDefault="008F3825"/>
    <w:p w14:paraId="386C343E" w14:textId="77777777" w:rsidR="008F3825" w:rsidRDefault="008F3825"/>
    <w:p w14:paraId="368ECCB1" w14:textId="4843CB43" w:rsidR="008F3825" w:rsidRPr="00E7449E" w:rsidRDefault="008F3825">
      <w:pPr>
        <w:rPr>
          <w:lang w:val="en-US"/>
        </w:rPr>
      </w:pPr>
    </w:p>
    <w:sectPr w:rsidR="008F3825" w:rsidRPr="00E74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9E"/>
    <w:rsid w:val="000029C2"/>
    <w:rsid w:val="000036D2"/>
    <w:rsid w:val="00006FE2"/>
    <w:rsid w:val="00011DE2"/>
    <w:rsid w:val="00011F59"/>
    <w:rsid w:val="00021C0E"/>
    <w:rsid w:val="0003070A"/>
    <w:rsid w:val="00047559"/>
    <w:rsid w:val="0005283E"/>
    <w:rsid w:val="00086085"/>
    <w:rsid w:val="00090733"/>
    <w:rsid w:val="000A3697"/>
    <w:rsid w:val="000A7B93"/>
    <w:rsid w:val="000C35B5"/>
    <w:rsid w:val="000C3F4F"/>
    <w:rsid w:val="000D434F"/>
    <w:rsid w:val="00107C36"/>
    <w:rsid w:val="00116DEF"/>
    <w:rsid w:val="00117162"/>
    <w:rsid w:val="001261A2"/>
    <w:rsid w:val="0015621C"/>
    <w:rsid w:val="00163E0F"/>
    <w:rsid w:val="00166C84"/>
    <w:rsid w:val="001675BF"/>
    <w:rsid w:val="00170ED0"/>
    <w:rsid w:val="00175DEA"/>
    <w:rsid w:val="00181E28"/>
    <w:rsid w:val="001A4180"/>
    <w:rsid w:val="001A72D3"/>
    <w:rsid w:val="001B6FB3"/>
    <w:rsid w:val="001E0DDA"/>
    <w:rsid w:val="001E424E"/>
    <w:rsid w:val="001F0E0E"/>
    <w:rsid w:val="00213BA2"/>
    <w:rsid w:val="002361E0"/>
    <w:rsid w:val="0025464D"/>
    <w:rsid w:val="002555BB"/>
    <w:rsid w:val="00255B85"/>
    <w:rsid w:val="00256790"/>
    <w:rsid w:val="00261167"/>
    <w:rsid w:val="0026118E"/>
    <w:rsid w:val="00262D9E"/>
    <w:rsid w:val="00266712"/>
    <w:rsid w:val="00280F0B"/>
    <w:rsid w:val="0029512A"/>
    <w:rsid w:val="002A076A"/>
    <w:rsid w:val="002A0DE0"/>
    <w:rsid w:val="002A35B1"/>
    <w:rsid w:val="002B10F9"/>
    <w:rsid w:val="002C0725"/>
    <w:rsid w:val="002D0BB0"/>
    <w:rsid w:val="002D1DFD"/>
    <w:rsid w:val="002E482E"/>
    <w:rsid w:val="002F2651"/>
    <w:rsid w:val="00312ADE"/>
    <w:rsid w:val="003207F2"/>
    <w:rsid w:val="00327A21"/>
    <w:rsid w:val="00327A74"/>
    <w:rsid w:val="0033151F"/>
    <w:rsid w:val="00332EDF"/>
    <w:rsid w:val="00332FC8"/>
    <w:rsid w:val="00343C49"/>
    <w:rsid w:val="0035165B"/>
    <w:rsid w:val="00390FCF"/>
    <w:rsid w:val="003A1BA6"/>
    <w:rsid w:val="003A59AA"/>
    <w:rsid w:val="003C590E"/>
    <w:rsid w:val="003E4FA6"/>
    <w:rsid w:val="003E579E"/>
    <w:rsid w:val="003F2EB7"/>
    <w:rsid w:val="003F6762"/>
    <w:rsid w:val="00407055"/>
    <w:rsid w:val="00422971"/>
    <w:rsid w:val="00434218"/>
    <w:rsid w:val="00441414"/>
    <w:rsid w:val="00442A71"/>
    <w:rsid w:val="00447CB8"/>
    <w:rsid w:val="00484E23"/>
    <w:rsid w:val="0048755E"/>
    <w:rsid w:val="00497A23"/>
    <w:rsid w:val="004C4ED0"/>
    <w:rsid w:val="004C76D0"/>
    <w:rsid w:val="004D4B47"/>
    <w:rsid w:val="004E6650"/>
    <w:rsid w:val="004E7766"/>
    <w:rsid w:val="005068A6"/>
    <w:rsid w:val="00511962"/>
    <w:rsid w:val="00511A48"/>
    <w:rsid w:val="00521996"/>
    <w:rsid w:val="00525248"/>
    <w:rsid w:val="00543437"/>
    <w:rsid w:val="00547E24"/>
    <w:rsid w:val="005504EA"/>
    <w:rsid w:val="00551A9E"/>
    <w:rsid w:val="00552612"/>
    <w:rsid w:val="00560048"/>
    <w:rsid w:val="0058494E"/>
    <w:rsid w:val="00586059"/>
    <w:rsid w:val="005A06AA"/>
    <w:rsid w:val="005B2A0D"/>
    <w:rsid w:val="005B4531"/>
    <w:rsid w:val="005B5BFD"/>
    <w:rsid w:val="005C0FA3"/>
    <w:rsid w:val="005F20E0"/>
    <w:rsid w:val="005F4D87"/>
    <w:rsid w:val="00603D1B"/>
    <w:rsid w:val="00607E69"/>
    <w:rsid w:val="00615C19"/>
    <w:rsid w:val="00616CBF"/>
    <w:rsid w:val="00654D3D"/>
    <w:rsid w:val="00670141"/>
    <w:rsid w:val="006703AA"/>
    <w:rsid w:val="006808E3"/>
    <w:rsid w:val="00680D3E"/>
    <w:rsid w:val="00690FBA"/>
    <w:rsid w:val="00695A72"/>
    <w:rsid w:val="006A042F"/>
    <w:rsid w:val="006A6F6E"/>
    <w:rsid w:val="006C08A9"/>
    <w:rsid w:val="006C6435"/>
    <w:rsid w:val="006F2811"/>
    <w:rsid w:val="006F55AF"/>
    <w:rsid w:val="0071283E"/>
    <w:rsid w:val="00730F98"/>
    <w:rsid w:val="00735E25"/>
    <w:rsid w:val="00750C0C"/>
    <w:rsid w:val="00754C45"/>
    <w:rsid w:val="007556B3"/>
    <w:rsid w:val="00756734"/>
    <w:rsid w:val="00770B60"/>
    <w:rsid w:val="0077273C"/>
    <w:rsid w:val="00786AEF"/>
    <w:rsid w:val="007D12CE"/>
    <w:rsid w:val="007F0166"/>
    <w:rsid w:val="0080330D"/>
    <w:rsid w:val="0080350B"/>
    <w:rsid w:val="00817768"/>
    <w:rsid w:val="008307D0"/>
    <w:rsid w:val="0084148A"/>
    <w:rsid w:val="00841755"/>
    <w:rsid w:val="00851518"/>
    <w:rsid w:val="00883FB7"/>
    <w:rsid w:val="00893A7F"/>
    <w:rsid w:val="008C2ABF"/>
    <w:rsid w:val="008C2D4C"/>
    <w:rsid w:val="008C4C9B"/>
    <w:rsid w:val="008E5E47"/>
    <w:rsid w:val="008F3825"/>
    <w:rsid w:val="009034D3"/>
    <w:rsid w:val="0092041F"/>
    <w:rsid w:val="0092286E"/>
    <w:rsid w:val="00936845"/>
    <w:rsid w:val="00974F2C"/>
    <w:rsid w:val="00992405"/>
    <w:rsid w:val="00992CC1"/>
    <w:rsid w:val="009970D7"/>
    <w:rsid w:val="00997D55"/>
    <w:rsid w:val="009B53E2"/>
    <w:rsid w:val="009C0A18"/>
    <w:rsid w:val="009D43C5"/>
    <w:rsid w:val="009F2D85"/>
    <w:rsid w:val="009F44F6"/>
    <w:rsid w:val="009F4B54"/>
    <w:rsid w:val="009F5CF3"/>
    <w:rsid w:val="009F7D0C"/>
    <w:rsid w:val="00A06D45"/>
    <w:rsid w:val="00A14268"/>
    <w:rsid w:val="00A14710"/>
    <w:rsid w:val="00A27403"/>
    <w:rsid w:val="00A5391D"/>
    <w:rsid w:val="00A75EDB"/>
    <w:rsid w:val="00A84C28"/>
    <w:rsid w:val="00A94AEA"/>
    <w:rsid w:val="00A9605D"/>
    <w:rsid w:val="00AB4052"/>
    <w:rsid w:val="00AB4630"/>
    <w:rsid w:val="00AC7BF1"/>
    <w:rsid w:val="00AE5FCE"/>
    <w:rsid w:val="00AF2010"/>
    <w:rsid w:val="00B24B84"/>
    <w:rsid w:val="00B35103"/>
    <w:rsid w:val="00B40741"/>
    <w:rsid w:val="00B411EC"/>
    <w:rsid w:val="00B41560"/>
    <w:rsid w:val="00B5027F"/>
    <w:rsid w:val="00B71B12"/>
    <w:rsid w:val="00B82448"/>
    <w:rsid w:val="00B917F7"/>
    <w:rsid w:val="00B9496D"/>
    <w:rsid w:val="00B9767B"/>
    <w:rsid w:val="00BA0B26"/>
    <w:rsid w:val="00BA6AE7"/>
    <w:rsid w:val="00BB4844"/>
    <w:rsid w:val="00BC2DDF"/>
    <w:rsid w:val="00BD0715"/>
    <w:rsid w:val="00BD6120"/>
    <w:rsid w:val="00BE6175"/>
    <w:rsid w:val="00C0032C"/>
    <w:rsid w:val="00C007D8"/>
    <w:rsid w:val="00C13D70"/>
    <w:rsid w:val="00C217E7"/>
    <w:rsid w:val="00C2417D"/>
    <w:rsid w:val="00C32A6B"/>
    <w:rsid w:val="00C36F52"/>
    <w:rsid w:val="00C43787"/>
    <w:rsid w:val="00C449C0"/>
    <w:rsid w:val="00C4617C"/>
    <w:rsid w:val="00C52C83"/>
    <w:rsid w:val="00C70239"/>
    <w:rsid w:val="00C7320B"/>
    <w:rsid w:val="00C7493B"/>
    <w:rsid w:val="00C77DE1"/>
    <w:rsid w:val="00CA13C1"/>
    <w:rsid w:val="00CA1E88"/>
    <w:rsid w:val="00CB2B2D"/>
    <w:rsid w:val="00CB69E5"/>
    <w:rsid w:val="00CB6FA9"/>
    <w:rsid w:val="00CC057E"/>
    <w:rsid w:val="00CC71D1"/>
    <w:rsid w:val="00CD3F6C"/>
    <w:rsid w:val="00CE5365"/>
    <w:rsid w:val="00D200BF"/>
    <w:rsid w:val="00D2657A"/>
    <w:rsid w:val="00D319B3"/>
    <w:rsid w:val="00D357B1"/>
    <w:rsid w:val="00D363A6"/>
    <w:rsid w:val="00D41FD0"/>
    <w:rsid w:val="00D510F8"/>
    <w:rsid w:val="00D554CA"/>
    <w:rsid w:val="00D61C14"/>
    <w:rsid w:val="00D7302F"/>
    <w:rsid w:val="00D90B6D"/>
    <w:rsid w:val="00DA3212"/>
    <w:rsid w:val="00DB3B79"/>
    <w:rsid w:val="00DB5F31"/>
    <w:rsid w:val="00DC2A51"/>
    <w:rsid w:val="00DE0E83"/>
    <w:rsid w:val="00DF21FC"/>
    <w:rsid w:val="00DF27A1"/>
    <w:rsid w:val="00DF2993"/>
    <w:rsid w:val="00E0162B"/>
    <w:rsid w:val="00E01F15"/>
    <w:rsid w:val="00E1456F"/>
    <w:rsid w:val="00E23081"/>
    <w:rsid w:val="00E249D4"/>
    <w:rsid w:val="00E43A25"/>
    <w:rsid w:val="00E57652"/>
    <w:rsid w:val="00E7449E"/>
    <w:rsid w:val="00E7475F"/>
    <w:rsid w:val="00E7522A"/>
    <w:rsid w:val="00E83EA5"/>
    <w:rsid w:val="00E850C5"/>
    <w:rsid w:val="00EA125F"/>
    <w:rsid w:val="00EC3604"/>
    <w:rsid w:val="00EC688D"/>
    <w:rsid w:val="00EC6DC6"/>
    <w:rsid w:val="00EC77A9"/>
    <w:rsid w:val="00ED064E"/>
    <w:rsid w:val="00ED4E82"/>
    <w:rsid w:val="00EE554D"/>
    <w:rsid w:val="00EF2681"/>
    <w:rsid w:val="00F06244"/>
    <w:rsid w:val="00F12A21"/>
    <w:rsid w:val="00F12D31"/>
    <w:rsid w:val="00F174A9"/>
    <w:rsid w:val="00F30755"/>
    <w:rsid w:val="00F3445A"/>
    <w:rsid w:val="00F7011C"/>
    <w:rsid w:val="00F7508B"/>
    <w:rsid w:val="00F82021"/>
    <w:rsid w:val="00FA10D8"/>
    <w:rsid w:val="00FC1AB8"/>
    <w:rsid w:val="00FD29C3"/>
    <w:rsid w:val="00FE2837"/>
    <w:rsid w:val="00F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21FE"/>
  <w15:chartTrackingRefBased/>
  <w15:docId w15:val="{7A9618E1-18C7-4D47-84FC-23BBE9A0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9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opulation.un.org/wpp/Download/Standard/Population/" TargetMode="External"/><Relationship Id="rId4" Type="http://schemas.openxmlformats.org/officeDocument/2006/relationships/hyperlink" Target="https://www.gov.uk/government/statistics/adult-oral-health-survey-2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1369</Words>
  <Characters>8312</Characters>
  <Application>Microsoft Office Word</Application>
  <DocSecurity>0</DocSecurity>
  <Lines>143</Lines>
  <Paragraphs>30</Paragraphs>
  <ScaleCrop>false</ScaleCrop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257</cp:revision>
  <dcterms:created xsi:type="dcterms:W3CDTF">2025-10-21T10:16:00Z</dcterms:created>
  <dcterms:modified xsi:type="dcterms:W3CDTF">2025-11-12T12:15:00Z</dcterms:modified>
</cp:coreProperties>
</file>