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88166" w14:textId="77777777" w:rsidR="00972C6F" w:rsidRDefault="006B18E7">
      <w:pPr>
        <w:spacing w:after="80"/>
      </w:pPr>
      <w:r>
        <w:rPr>
          <w:b/>
          <w:bCs/>
          <w:color w:val="2E5FA3"/>
          <w:sz w:val="20"/>
          <w:szCs w:val="20"/>
        </w:rPr>
        <w:t>STUDY PROTOCOL</w:t>
      </w:r>
    </w:p>
    <w:p w14:paraId="687913AC" w14:textId="77777777" w:rsidR="00972C6F" w:rsidRDefault="006B18E7">
      <w:pPr>
        <w:spacing w:after="160"/>
      </w:pPr>
      <w:r>
        <w:rPr>
          <w:b/>
          <w:bCs/>
          <w:color w:val="1F3864"/>
          <w:sz w:val="36"/>
          <w:szCs w:val="36"/>
        </w:rPr>
        <w:t>AI-Derived Transition Probabilities for Periodontal Disease Markov Models: A Cross-Country Validation Study Using Longitudinal Cohort Data from the UK and 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72C6F" w14:paraId="632D427E"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tcPr>
          <w:p w14:paraId="07F4A3CD" w14:textId="77777777" w:rsidR="00972C6F" w:rsidRDefault="006B18E7">
            <w:r>
              <w:rPr>
                <w:b/>
                <w:bCs/>
                <w:color w:val="1F3864"/>
                <w:sz w:val="20"/>
                <w:szCs w:val="20"/>
              </w:rPr>
              <w:t>Version</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F3C9BAE" w14:textId="77777777" w:rsidR="00972C6F" w:rsidRDefault="006B18E7">
            <w:r>
              <w:rPr>
                <w:sz w:val="20"/>
                <w:szCs w:val="20"/>
              </w:rPr>
              <w:t>0.1 — Draft for Internal Review</w:t>
            </w:r>
          </w:p>
        </w:tc>
      </w:tr>
      <w:tr w:rsidR="00972C6F" w14:paraId="5353814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tcPr>
          <w:p w14:paraId="5A5CC545" w14:textId="77777777" w:rsidR="00972C6F" w:rsidRDefault="006B18E7">
            <w:r>
              <w:rPr>
                <w:b/>
                <w:bCs/>
                <w:color w:val="1F3864"/>
                <w:sz w:val="20"/>
                <w:szCs w:val="20"/>
              </w:rPr>
              <w:t>Date</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408DEAE" w14:textId="77777777" w:rsidR="00972C6F" w:rsidRDefault="006B18E7">
            <w:r>
              <w:rPr>
                <w:sz w:val="20"/>
                <w:szCs w:val="20"/>
              </w:rPr>
              <w:t>February 2026</w:t>
            </w:r>
          </w:p>
        </w:tc>
      </w:tr>
      <w:tr w:rsidR="00972C6F" w14:paraId="03C202C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tcPr>
          <w:p w14:paraId="4593EA0B" w14:textId="77777777" w:rsidR="00972C6F" w:rsidRDefault="006B18E7">
            <w:r>
              <w:rPr>
                <w:b/>
                <w:bCs/>
                <w:color w:val="1F3864"/>
                <w:sz w:val="20"/>
                <w:szCs w:val="20"/>
              </w:rPr>
              <w:t>Authors</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68692FE" w14:textId="77777777" w:rsidR="00972C6F" w:rsidRDefault="006B18E7">
            <w:r>
              <w:rPr>
                <w:sz w:val="20"/>
                <w:szCs w:val="20"/>
              </w:rPr>
              <w:t>[Author names] — [Institution]</w:t>
            </w:r>
          </w:p>
        </w:tc>
      </w:tr>
      <w:tr w:rsidR="00972C6F" w14:paraId="06020FE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tcPr>
          <w:p w14:paraId="44F234DC" w14:textId="77777777" w:rsidR="00972C6F" w:rsidRDefault="006B18E7">
            <w:r>
              <w:rPr>
                <w:b/>
                <w:bCs/>
                <w:color w:val="1F3864"/>
                <w:sz w:val="20"/>
                <w:szCs w:val="20"/>
              </w:rPr>
              <w:t>Target Journal</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AE2B337" w14:textId="77777777" w:rsidR="00972C6F" w:rsidRDefault="006B18E7">
            <w:r>
              <w:rPr>
                <w:sz w:val="20"/>
                <w:szCs w:val="20"/>
              </w:rPr>
              <w:t xml:space="preserve">Value in Health / Medical Decision Making / </w:t>
            </w:r>
            <w:proofErr w:type="spellStart"/>
            <w:r>
              <w:rPr>
                <w:sz w:val="20"/>
                <w:szCs w:val="20"/>
              </w:rPr>
              <w:t>npj</w:t>
            </w:r>
            <w:proofErr w:type="spellEnd"/>
            <w:r>
              <w:rPr>
                <w:sz w:val="20"/>
                <w:szCs w:val="20"/>
              </w:rPr>
              <w:t xml:space="preserve"> Digital Medicine</w:t>
            </w:r>
          </w:p>
        </w:tc>
      </w:tr>
      <w:tr w:rsidR="00972C6F" w14:paraId="1751B5E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tcPr>
          <w:p w14:paraId="2EAE8BCA" w14:textId="77777777" w:rsidR="00972C6F" w:rsidRDefault="006B18E7">
            <w:r>
              <w:rPr>
                <w:b/>
                <w:bCs/>
                <w:color w:val="1F3864"/>
                <w:sz w:val="20"/>
                <w:szCs w:val="20"/>
              </w:rPr>
              <w:t>Data Sources</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93592E8" w14:textId="346DAF67" w:rsidR="00972C6F" w:rsidRDefault="006B18E7">
            <w:r>
              <w:rPr>
                <w:sz w:val="20"/>
                <w:szCs w:val="20"/>
              </w:rPr>
              <w:t>Longitudinal published cohort data / synthetic population derived from published parameters</w:t>
            </w:r>
            <w:r w:rsidR="00AB3425">
              <w:rPr>
                <w:sz w:val="20"/>
                <w:szCs w:val="20"/>
              </w:rPr>
              <w:t xml:space="preserve"> / non-profit charity access</w:t>
            </w:r>
          </w:p>
        </w:tc>
      </w:tr>
    </w:tbl>
    <w:p w14:paraId="34BC6737" w14:textId="77777777" w:rsidR="00972C6F" w:rsidRDefault="00972C6F">
      <w:pPr>
        <w:pBdr>
          <w:bottom w:val="single" w:sz="4" w:space="1" w:color="2E5FA3"/>
        </w:pBdr>
        <w:spacing w:before="160" w:after="160"/>
      </w:pPr>
    </w:p>
    <w:p w14:paraId="3AD06BF8" w14:textId="77777777" w:rsidR="00972C6F" w:rsidRDefault="006B18E7">
      <w:pPr>
        <w:pStyle w:val="Heading1"/>
        <w:spacing w:before="320" w:after="160"/>
      </w:pPr>
      <w:r>
        <w:rPr>
          <w:b/>
          <w:bCs/>
          <w:color w:val="1F3864"/>
        </w:rPr>
        <w:t>1. Background and Rationale</w:t>
      </w:r>
    </w:p>
    <w:p w14:paraId="68CACB67" w14:textId="77777777" w:rsidR="00972C6F" w:rsidRDefault="006B18E7">
      <w:pPr>
        <w:pStyle w:val="Heading2"/>
        <w:spacing w:before="240" w:after="120"/>
      </w:pPr>
      <w:r>
        <w:rPr>
          <w:b/>
          <w:bCs/>
          <w:color w:val="2E5FA3"/>
        </w:rPr>
        <w:t>1.1 The Transition Probability Problem in Periodontal Economic Modelling</w:t>
      </w:r>
    </w:p>
    <w:p w14:paraId="46EA251B" w14:textId="77777777" w:rsidR="00972C6F" w:rsidRDefault="006B18E7">
      <w:pPr>
        <w:spacing w:before="80" w:after="120"/>
      </w:pPr>
      <w:r>
        <w:t>Markov and microsimulation models are the standard analytical framework for evaluating the cost-effectiveness of periodontal interventions. These models simulate patient movement between defined health states — typically across a continuum from periodontal health through gingivitis, mild, moderate, and severe periodontitis, to tooth loss and edentulism — accumulating costs and quality-adjusted life years (QALYs) at each cycle.</w:t>
      </w:r>
    </w:p>
    <w:p w14:paraId="1F9E4BDC" w14:textId="77777777" w:rsidR="00972C6F" w:rsidRDefault="006B18E7">
      <w:pPr>
        <w:spacing w:before="80" w:after="120"/>
      </w:pPr>
      <w:r>
        <w:t>The validity of these models depends critically on the accuracy of transition probabilities: the likelihood that a patient moves from one disease state to another within a defined cycle length. Historically, these probabilities have been derived from one of three approaches, each with important limitations.</w:t>
      </w:r>
    </w:p>
    <w:p w14:paraId="16D1029A" w14:textId="77777777" w:rsidR="00972C6F" w:rsidRDefault="006B18E7">
      <w:pPr>
        <w:pStyle w:val="ListParagraph"/>
        <w:numPr>
          <w:ilvl w:val="0"/>
          <w:numId w:val="2"/>
        </w:numPr>
        <w:spacing w:before="40" w:after="40"/>
      </w:pPr>
      <w:r>
        <w:t>Cross-sectional prevalence data back-calculated into transition rates. This is methodologically inconsistent, as cross-sectional studies were not designed to estimate state transitions, and the conversion introduces systematic bias when disease states are not in steady state.</w:t>
      </w:r>
    </w:p>
    <w:p w14:paraId="6B5D92F4" w14:textId="77777777" w:rsidR="00972C6F" w:rsidRDefault="006B18E7">
      <w:pPr>
        <w:pStyle w:val="ListParagraph"/>
        <w:numPr>
          <w:ilvl w:val="0"/>
          <w:numId w:val="2"/>
        </w:numPr>
        <w:spacing w:before="40" w:after="40"/>
      </w:pPr>
      <w:r>
        <w:t>Small clinical trials with short follow-up periods. These provide high internal validity but limited external generalisability, particularly for the elderly populations most relevant to health economic decisions about prevention and prosthetic intervention.</w:t>
      </w:r>
    </w:p>
    <w:p w14:paraId="7FDB7FA4" w14:textId="77777777" w:rsidR="00972C6F" w:rsidRDefault="006B18E7">
      <w:pPr>
        <w:pStyle w:val="ListParagraph"/>
        <w:numPr>
          <w:ilvl w:val="0"/>
          <w:numId w:val="2"/>
        </w:numPr>
        <w:spacing w:before="40" w:after="40"/>
      </w:pPr>
      <w:r>
        <w:t xml:space="preserve">Expert elicitation. Used when longitudinal data are </w:t>
      </w:r>
      <w:proofErr w:type="gramStart"/>
      <w:r>
        <w:t>unavailable, but</w:t>
      </w:r>
      <w:proofErr w:type="gramEnd"/>
      <w:r>
        <w:t xml:space="preserve"> introduces subjective uncertainty that is poorly captured by standard probabilistic sensitivity analysis.</w:t>
      </w:r>
    </w:p>
    <w:p w14:paraId="22BCB117" w14:textId="77777777" w:rsidR="00972C6F" w:rsidRDefault="006B18E7">
      <w:pPr>
        <w:spacing w:before="80" w:after="120"/>
      </w:pPr>
      <w:r>
        <w:t>A consequence of these limitations is that published ICERs for periodontal interventions show substantial variability that may reflect heterogeneity in input parameters rather than true differences in intervention effectiveness. The Needleman et al. (2018) systematic review of periodontal disease progression documented mean annual attachment loss of 0.1 mm (95% CI: 0.07, 0.13), with a 99% I² statistic — indicating that population-average figures mask enormous individual-level variability that current models fail to capture.</w:t>
      </w:r>
    </w:p>
    <w:p w14:paraId="3BE2723B" w14:textId="77777777" w:rsidR="00972C6F" w:rsidRDefault="006B18E7">
      <w:pPr>
        <w:spacing w:before="80" w:after="120"/>
      </w:pPr>
      <w:r>
        <w:t xml:space="preserve">Critically, existing models treat transition probabilities as fixed population-level parameters, ignoring covariate-specific heterogeneity. A patient with severe periodontitis who smokes, has type 2 diabetes, and shows a high systemic inflammatory burden has a materially different risk of tooth loss than a patient with the same probing depths who is </w:t>
      </w:r>
      <w:proofErr w:type="spellStart"/>
      <w:r>
        <w:t>normoglycaemic</w:t>
      </w:r>
      <w:proofErr w:type="spellEnd"/>
      <w:r>
        <w:t xml:space="preserve"> and a non-smoker. This heterogeneity is clinically well-established but rarely incorporated into economic models in a principled, data-driven way.</w:t>
      </w:r>
    </w:p>
    <w:p w14:paraId="79452815" w14:textId="77777777" w:rsidR="00972C6F" w:rsidRDefault="006B18E7">
      <w:pPr>
        <w:pStyle w:val="Heading2"/>
        <w:spacing w:before="240" w:after="120"/>
      </w:pPr>
      <w:r>
        <w:rPr>
          <w:b/>
          <w:bCs/>
          <w:color w:val="2E5FA3"/>
        </w:rPr>
        <w:lastRenderedPageBreak/>
        <w:t>1.2 Machine Learning Survival Models as a Solution</w:t>
      </w:r>
    </w:p>
    <w:p w14:paraId="6D1FA7FC" w14:textId="77777777" w:rsidR="00972C6F" w:rsidRDefault="006B18E7">
      <w:pPr>
        <w:spacing w:before="80" w:after="120"/>
      </w:pPr>
      <w:r>
        <w:t>Recent methodological advances in machine learning for time-to-event data offer a principled solution to this problem. Rather than estimating single population-average transition rates from cross-sectional data, survival ML models can learn covariate-specific transition probabilities from longitudinal cohort data, capturing non-linear interactions between risk factors and disease progression that traditional parametric survival models cannot.</w:t>
      </w:r>
    </w:p>
    <w:p w14:paraId="727C6036" w14:textId="77777777" w:rsidR="00972C6F" w:rsidRDefault="006B18E7">
      <w:pPr>
        <w:spacing w:before="80" w:after="120"/>
      </w:pPr>
      <w:r>
        <w:t>Three approaches are particularly relevant to this application:</w:t>
      </w:r>
    </w:p>
    <w:p w14:paraId="2883E696" w14:textId="77777777" w:rsidR="00972C6F" w:rsidRDefault="006B18E7">
      <w:pPr>
        <w:pStyle w:val="ListParagraph"/>
        <w:numPr>
          <w:ilvl w:val="0"/>
          <w:numId w:val="2"/>
        </w:numPr>
        <w:spacing w:before="40" w:after="40"/>
      </w:pPr>
      <w:r>
        <w:t xml:space="preserve">Random Survival Forests (RSF) and their extension to longitudinal endogenous predictors via the </w:t>
      </w:r>
      <w:proofErr w:type="spellStart"/>
      <w:r>
        <w:t>DynForest</w:t>
      </w:r>
      <w:proofErr w:type="spellEnd"/>
      <w:r>
        <w:t xml:space="preserve"> framework (Devaux et al., 2023) can estimate individual-level event probabilities by internally transforming time-dependent predictors using mixed models at each tree node, with final predictions computed as Aalen-Johansen estimators averaged across trees.</w:t>
      </w:r>
    </w:p>
    <w:p w14:paraId="6731E2C7" w14:textId="77777777" w:rsidR="00972C6F" w:rsidRDefault="006B18E7">
      <w:pPr>
        <w:pStyle w:val="ListParagraph"/>
        <w:numPr>
          <w:ilvl w:val="0"/>
          <w:numId w:val="2"/>
        </w:numPr>
        <w:spacing w:before="40" w:after="40"/>
      </w:pPr>
      <w:proofErr w:type="spellStart"/>
      <w:r>
        <w:t>DeepSurv</w:t>
      </w:r>
      <w:proofErr w:type="spellEnd"/>
      <w:r>
        <w:t xml:space="preserve"> and Dynamic-</w:t>
      </w:r>
      <w:proofErr w:type="spellStart"/>
      <w:r>
        <w:t>DeepHit</w:t>
      </w:r>
      <w:proofErr w:type="spellEnd"/>
      <w:r>
        <w:t xml:space="preserve"> extend neural network architectures to competing risks and longitudinal data, learning the joint distribution of event times without parametric assumptions. Dynamic-</w:t>
      </w:r>
      <w:proofErr w:type="spellStart"/>
      <w:r>
        <w:t>DeepHit</w:t>
      </w:r>
      <w:proofErr w:type="spellEnd"/>
      <w:r>
        <w:t xml:space="preserve"> has demonstrated superior discriminative performance over Cox-based benchmarks in cystic fibrosis and other chronic disease datasets.</w:t>
      </w:r>
    </w:p>
    <w:p w14:paraId="7FD5E7C5" w14:textId="77777777" w:rsidR="00972C6F" w:rsidRDefault="006B18E7">
      <w:pPr>
        <w:pStyle w:val="ListParagraph"/>
        <w:numPr>
          <w:ilvl w:val="0"/>
          <w:numId w:val="2"/>
        </w:numPr>
        <w:spacing w:before="40" w:after="40"/>
      </w:pPr>
      <w:r>
        <w:t xml:space="preserve">Multi-state Markov models with ML-derived covariates, using the continuous-time </w:t>
      </w:r>
      <w:proofErr w:type="spellStart"/>
      <w:r>
        <w:t>msm</w:t>
      </w:r>
      <w:proofErr w:type="spellEnd"/>
      <w:r>
        <w:t xml:space="preserve"> framework, allow direct estimation of transition intensities as functions of observed covariates while preserving the Markov structure required for downstream economic modelling.</w:t>
      </w:r>
    </w:p>
    <w:p w14:paraId="4C297DF5" w14:textId="77777777" w:rsidR="00972C6F" w:rsidRDefault="006B18E7">
      <w:pPr>
        <w:spacing w:before="80" w:after="120"/>
      </w:pPr>
      <w:r>
        <w:t>The key methodological contribution of applying these methods to periodontal disease is the translation of ML survival outputs into structured transition probability matrices with covariate stratification. Rather than a single transition probability from moderate to severe periodontitis, the model produces a function over patient characteristics — enabling individualised risk profiles that improve both clinical decision support and economic model validity.</w:t>
      </w:r>
    </w:p>
    <w:p w14:paraId="6ED1F08D" w14:textId="77777777" w:rsidR="00972C6F" w:rsidRDefault="006B18E7">
      <w:pPr>
        <w:spacing w:before="80" w:after="120"/>
      </w:pPr>
      <w:r>
        <w:t xml:space="preserve">This approach has been applied in other chronic disease contexts. Haug et al. (2024) demonstrated Markov cost-effectiveness modelling from real-world data networks using the </w:t>
      </w:r>
      <w:proofErr w:type="spellStart"/>
      <w:r>
        <w:t>TrajectoryMarkovAnalysis</w:t>
      </w:r>
      <w:proofErr w:type="spellEnd"/>
      <w:r>
        <w:t xml:space="preserve"> package, replicating heart failure analyses across five international databases. Keane et al. (</w:t>
      </w:r>
      <w:proofErr w:type="spellStart"/>
      <w:r>
        <w:t>npj</w:t>
      </w:r>
      <w:proofErr w:type="spellEnd"/>
      <w:r>
        <w:t xml:space="preserve"> Digital Medicine, 2026) applied health economic simulation to AI-enabled coronary revascularisation decision support, demonstrating that AI-optimised treatment pathways produced average cost savings of approximately $22,960 per patient at standard willingness-to-pay thresholds. These precedents establish the methodological feasibility of the proposed approach.</w:t>
      </w:r>
    </w:p>
    <w:p w14:paraId="0706352E" w14:textId="77777777" w:rsidR="00972C6F" w:rsidRDefault="006B18E7">
      <w:pPr>
        <w:pStyle w:val="Heading2"/>
        <w:spacing w:before="240" w:after="120"/>
      </w:pPr>
      <w:r>
        <w:rPr>
          <w:b/>
          <w:bCs/>
          <w:color w:val="2E5FA3"/>
        </w:rPr>
        <w:t>1.3 The Cross-Country Opportunity</w:t>
      </w:r>
    </w:p>
    <w:p w14:paraId="1432E52E" w14:textId="77777777" w:rsidR="00972C6F" w:rsidRDefault="006B18E7">
      <w:pPr>
        <w:spacing w:before="80" w:after="120"/>
      </w:pPr>
      <w:r>
        <w:t>A dual-country design — UK and US — offers distinct and complementary advantages beyond simply increasing sample size. The two settings differ systematically in several dimensions that are relevant to both model calibration and policy generalisability.</w:t>
      </w:r>
    </w:p>
    <w:p w14:paraId="7F8EC36A" w14:textId="77777777" w:rsidR="00972C6F" w:rsidRDefault="006B18E7">
      <w:pPr>
        <w:pStyle w:val="ListParagraph"/>
        <w:numPr>
          <w:ilvl w:val="0"/>
          <w:numId w:val="2"/>
        </w:numPr>
        <w:spacing w:before="40" w:after="40"/>
      </w:pPr>
      <w:r>
        <w:t>Healthcare system structure: NHS dental services in the UK operate under a mixed capitation-contract model with defined NHS banding charges, while US dental care is predominantly fee-for-service with significant uninsured and underinsured populations. These structural differences produce different treatment-seeking patterns, different intensities of supportive periodontal therapy, and different natural history trajectories.</w:t>
      </w:r>
    </w:p>
    <w:p w14:paraId="22EBB212" w14:textId="77777777" w:rsidR="00972C6F" w:rsidRDefault="006B18E7">
      <w:pPr>
        <w:pStyle w:val="ListParagraph"/>
        <w:numPr>
          <w:ilvl w:val="0"/>
          <w:numId w:val="2"/>
        </w:numPr>
        <w:spacing w:before="40" w:after="40"/>
      </w:pPr>
      <w:r>
        <w:t>Dietary and lifestyle exposures: Cross-country differences in diet quality, smoking prevalence, obesity rates, and diabetes prevalence — all established periodontal risk factors — mean that covariate-specific transition probabilities derived from a single country may not generalise. A cross-country model tests the transportability of AI-derived parameters.</w:t>
      </w:r>
    </w:p>
    <w:p w14:paraId="471B1A0E" w14:textId="77777777" w:rsidR="00972C6F" w:rsidRDefault="006B18E7">
      <w:pPr>
        <w:pStyle w:val="ListParagraph"/>
        <w:numPr>
          <w:ilvl w:val="0"/>
          <w:numId w:val="2"/>
        </w:numPr>
        <w:spacing w:before="40" w:after="40"/>
      </w:pPr>
      <w:r>
        <w:t>Cost frameworks: UK-based ICERs are benchmarked against NICE’s £20,000–30,000/QALY threshold; US analyses typically use $50,000–100,000/QALY. Demonstrating that AI-derived transition probabilities produce materially different ICERs across countries, even controlling for cost framework differences, would be a significant finding for the international health economics literature.</w:t>
      </w:r>
    </w:p>
    <w:p w14:paraId="75C369CB" w14:textId="77777777" w:rsidR="00972C6F" w:rsidRDefault="006B18E7">
      <w:pPr>
        <w:pStyle w:val="ListParagraph"/>
        <w:numPr>
          <w:ilvl w:val="0"/>
          <w:numId w:val="2"/>
        </w:numPr>
        <w:spacing w:before="40" w:after="40"/>
      </w:pPr>
      <w:r>
        <w:lastRenderedPageBreak/>
        <w:t>Validation potential: AI models trained on one country’s longitudinal data and validated on the other provide a stringent external validity test that purely domestic studies cannot offer, directly paralleling the PROGRESS study’s validation of US-trained glycaemic risk profiles in the Israeli HPP cohort.</w:t>
      </w:r>
    </w:p>
    <w:p w14:paraId="64BE815D" w14:textId="77777777" w:rsidR="00972C6F" w:rsidRDefault="00972C6F">
      <w:pPr>
        <w:pBdr>
          <w:bottom w:val="single" w:sz="4" w:space="1" w:color="2E5FA3"/>
        </w:pBdr>
        <w:spacing w:before="160" w:after="160"/>
      </w:pPr>
    </w:p>
    <w:p w14:paraId="7B75A6EC" w14:textId="77777777" w:rsidR="00972C6F" w:rsidRDefault="006B18E7">
      <w:pPr>
        <w:pStyle w:val="Heading1"/>
        <w:spacing w:before="320" w:after="160"/>
      </w:pPr>
      <w:r>
        <w:rPr>
          <w:b/>
          <w:bCs/>
          <w:color w:val="1F3864"/>
        </w:rPr>
        <w:t>2. Longitudinal Data Sources</w:t>
      </w:r>
    </w:p>
    <w:p w14:paraId="6B919947" w14:textId="77777777" w:rsidR="00972C6F" w:rsidRDefault="006B18E7">
      <w:pPr>
        <w:pStyle w:val="Heading2"/>
        <w:spacing w:before="240" w:after="120"/>
      </w:pPr>
      <w:r>
        <w:rPr>
          <w:b/>
          <w:bCs/>
          <w:color w:val="2E5FA3"/>
        </w:rPr>
        <w:t>2.1 Overview</w:t>
      </w:r>
    </w:p>
    <w:p w14:paraId="4BB22836" w14:textId="295F4081" w:rsidR="00972C6F" w:rsidRDefault="006B18E7">
      <w:pPr>
        <w:spacing w:before="80" w:after="120"/>
      </w:pPr>
      <w:r>
        <w:t xml:space="preserve">The commercial affiliation of this study restricts access to several major longitudinal datasets, including NHANES, ELSA, UK Biobank, and All of Us, which prohibit commercial use under their data access agreements. </w:t>
      </w:r>
      <w:r w:rsidR="001F5535">
        <w:t>Unless charity access (through Kwaai) can be organised, t</w:t>
      </w:r>
      <w:r>
        <w:t>he study will draw on three complementary data sources that are either published in the open literature with sufficient granularity for parameter extraction, available under permissive licences compatible with commercial research, or accessible via academic collaboration with data custodians. The overall strategy is to derive AI model parameters from the richest available longitudinal data, with academic collaborators serving as data custodians where required.</w:t>
      </w:r>
    </w:p>
    <w:p w14:paraId="0CBD7D5B" w14:textId="77777777" w:rsidR="00972C6F" w:rsidRDefault="006B18E7">
      <w:pPr>
        <w:pStyle w:val="Heading2"/>
        <w:spacing w:before="240" w:after="120"/>
      </w:pPr>
      <w:r>
        <w:rPr>
          <w:b/>
          <w:bCs/>
          <w:color w:val="2E5FA3"/>
        </w:rPr>
        <w:t>2.2 Primary Source: Published Longitudinal Cohort Data for Synthetic Population Generation</w:t>
      </w:r>
    </w:p>
    <w:p w14:paraId="5C7EC873" w14:textId="77777777" w:rsidR="00972C6F" w:rsidRDefault="006B18E7">
      <w:pPr>
        <w:spacing w:before="80" w:after="120"/>
      </w:pPr>
      <w:r>
        <w:t>The extensive longitudinal periodontal literature provides sufficient published summary statistics — transition rates, covariate effects, follow-up durations, event frequencies — to construct a synthetic longitudinal dataset that preserves the covariance structure of real data while requiring no direct data access. This approach, which is methodologically consistent with agent-based microsimulation practice, uses published parameters from the following key longitudinal studies:</w:t>
      </w:r>
    </w:p>
    <w:p w14:paraId="06DCCD0E" w14:textId="77777777" w:rsidR="00972C6F" w:rsidRDefault="006B18E7">
      <w:pPr>
        <w:spacing w:before="180" w:after="80"/>
      </w:pPr>
      <w:r>
        <w:rPr>
          <w:b/>
          <w:bCs/>
          <w:color w:val="333333"/>
          <w:sz w:val="24"/>
          <w:szCs w:val="24"/>
        </w:rPr>
        <w:t>Goodson et al. — Massachusetts Dataset</w:t>
      </w:r>
    </w:p>
    <w:p w14:paraId="5FB34D6D" w14:textId="77777777" w:rsidR="00972C6F" w:rsidRDefault="006B18E7">
      <w:pPr>
        <w:spacing w:before="80" w:after="120"/>
      </w:pPr>
      <w:r>
        <w:t>The landmark longitudinal dataset underlying the multi-state Markov analysis by Saag et al. (2014, BMC Oral Health) and the linear mixed model study by Preshaw et al. (2017, Journal of Clinical Periodontology) involved 162–165 American and Swedish subjects with detailed CAL, probing depth, and bleeding-on-probing measurements at multiple visits. State-specific transition intensities across the health → gingivitis → chronic periodontitis continuum are published with 95% confidence intervals and covariate effects for age, sex, nationality, smoking, and disease severity. These serve as the primary calibration dataset for the US arm of the model.</w:t>
      </w:r>
    </w:p>
    <w:p w14:paraId="7CAE4967" w14:textId="77777777" w:rsidR="00972C6F" w:rsidRDefault="006B18E7">
      <w:pPr>
        <w:spacing w:before="180" w:after="80"/>
      </w:pPr>
      <w:r>
        <w:rPr>
          <w:b/>
          <w:bCs/>
          <w:color w:val="333333"/>
          <w:sz w:val="24"/>
          <w:szCs w:val="24"/>
        </w:rPr>
        <w:t>The Sri Lanka Natural History Study — Untreated Periodontitis</w:t>
      </w:r>
    </w:p>
    <w:p w14:paraId="4542E975" w14:textId="77777777" w:rsidR="00972C6F" w:rsidRDefault="006B18E7">
      <w:pPr>
        <w:spacing w:before="80" w:after="120"/>
      </w:pPr>
      <w:r>
        <w:t>Ramseier et al. (2017, Journal of Clinical Periodontology) published 40-year follow-up data from the original natural history cohort of Sri Lankan tea labourers. This remains the definitive dataset for untreated periodontal disease progression, with tooth loss over 40 years ranging from 0 to 28 teeth (mean 13.1). Logistic regression parameters for attachment loss as a predictor of tooth loss are published with sufficient detail to parameterise the disease-to-tooth-loss transition in the model.</w:t>
      </w:r>
    </w:p>
    <w:p w14:paraId="3302FCDB" w14:textId="77777777" w:rsidR="00972C6F" w:rsidRDefault="006B18E7">
      <w:pPr>
        <w:spacing w:before="180" w:after="80"/>
      </w:pPr>
      <w:r>
        <w:rPr>
          <w:b/>
          <w:bCs/>
          <w:color w:val="333333"/>
          <w:sz w:val="24"/>
          <w:szCs w:val="24"/>
        </w:rPr>
        <w:t>Dunedin Multidisciplinary Health and Development Study (DMHDS)</w:t>
      </w:r>
    </w:p>
    <w:p w14:paraId="14AB1EC0" w14:textId="77777777" w:rsidR="00972C6F" w:rsidRDefault="006B18E7">
      <w:pPr>
        <w:spacing w:before="80" w:after="120"/>
      </w:pPr>
      <w:r>
        <w:t>The DMHDS is the only birth cohort in the world to have clinically investigated dental health from birth to midlife, with periodontal assessments from age 26 onwards across multiple waves. Over 70 peer-reviewed publications have been generated from its oral health data, providing published estimates for attachment loss trajectories, smoking effects, socioeconomic gradients, and intergenerational risk. As a New Zealand study generalisable to the UK and US context, it anchors life-course periodontal trajectories in the synthetic population. Data access for secondary analysis requires a concept paper and institutional ethics approval; the study team will pursue this route for potential validation analyses.</w:t>
      </w:r>
    </w:p>
    <w:p w14:paraId="03C76047" w14:textId="77777777" w:rsidR="00972C6F" w:rsidRDefault="006B18E7">
      <w:pPr>
        <w:spacing w:before="180" w:after="80"/>
      </w:pPr>
      <w:r>
        <w:rPr>
          <w:b/>
          <w:bCs/>
          <w:color w:val="333333"/>
          <w:sz w:val="24"/>
          <w:szCs w:val="24"/>
        </w:rPr>
        <w:lastRenderedPageBreak/>
        <w:t>Needleman et al. (2018) Systematic Review Parameters</w:t>
      </w:r>
    </w:p>
    <w:p w14:paraId="12C543EF" w14:textId="77777777" w:rsidR="00972C6F" w:rsidRDefault="006B18E7">
      <w:pPr>
        <w:spacing w:before="80" w:after="120"/>
      </w:pPr>
      <w:r>
        <w:t>The definitive systematic review of periodontal disease progression (Journal of Periodontology, 2018 supplement) provides mean annual attachment loss (0.1 mm/year, 95% CI 0.07–0.13) and tooth loss (0.2 teeth/year, 95% CI 0.10–0.33) with subgroup analyses by geographic region (North America/Europe vs Asia), smoking status, and baseline disease severity. The I² = 99% statistic quantifies the heterogeneity that individual-level models must capture. These parameters provide prior distributions for Bayesian sensitivity analyses.</w:t>
      </w:r>
    </w:p>
    <w:p w14:paraId="34CBEDE2" w14:textId="77777777" w:rsidR="00972C6F" w:rsidRDefault="006B18E7">
      <w:pPr>
        <w:pStyle w:val="Heading2"/>
        <w:spacing w:before="240" w:after="120"/>
      </w:pPr>
      <w:r>
        <w:rPr>
          <w:b/>
          <w:bCs/>
          <w:color w:val="2E5FA3"/>
        </w:rPr>
        <w:t>2.3 Secondary Source: MIMIC-IV (PhysioNet)</w:t>
      </w:r>
    </w:p>
    <w:p w14:paraId="0E71CA93" w14:textId="77777777" w:rsidR="00972C6F" w:rsidRDefault="006B18E7">
      <w:pPr>
        <w:spacing w:before="80" w:after="120"/>
      </w:pPr>
      <w:r>
        <w:t xml:space="preserve">MIMIC-IV is an electronic health record dataset from Beth Israel Deaconess Medical </w:t>
      </w:r>
      <w:proofErr w:type="spellStart"/>
      <w:r>
        <w:t>Center</w:t>
      </w:r>
      <w:proofErr w:type="spellEnd"/>
      <w:r>
        <w:t>, available under PhysioNet credentialing which explicitly permits commercial use following institutional data use agreement. The oral health signal in MIMIC-IV is indirect — dental diagnoses are coded via ICD-10 rather than clinical periodontal measurements — but the dataset provides longitudinal data on comorbid conditions relevant to the periodontal-systemic disease pathway: diabetes status and glycaemic control (HbA1c), cardiovascular diagnoses, inflammatory markers (CRP), BMI trajectories, and mortality. MIMIC-IV will be used to estimate the comorbidity-specific modifiers of periodontal disease transition probabilities in the US context, specifically the diabetes-periodontitis interaction and the periodontal-CVD pathway parameters.</w:t>
      </w:r>
    </w:p>
    <w:p w14:paraId="3E752A37" w14:textId="77777777" w:rsidR="00972C6F" w:rsidRDefault="006B18E7">
      <w:pPr>
        <w:pStyle w:val="Heading2"/>
        <w:spacing w:before="240" w:after="120"/>
      </w:pPr>
      <w:r>
        <w:rPr>
          <w:b/>
          <w:bCs/>
          <w:color w:val="2E5FA3"/>
        </w:rPr>
        <w:t xml:space="preserve">2.4 Tertiary Source: Open </w:t>
      </w:r>
      <w:proofErr w:type="spellStart"/>
      <w:r>
        <w:rPr>
          <w:b/>
          <w:bCs/>
          <w:color w:val="2E5FA3"/>
        </w:rPr>
        <w:t>Zenodo</w:t>
      </w:r>
      <w:proofErr w:type="spellEnd"/>
      <w:r>
        <w:rPr>
          <w:b/>
          <w:bCs/>
          <w:color w:val="2E5FA3"/>
        </w:rPr>
        <w:t>/</w:t>
      </w:r>
      <w:proofErr w:type="spellStart"/>
      <w:r>
        <w:rPr>
          <w:b/>
          <w:bCs/>
          <w:color w:val="2E5FA3"/>
        </w:rPr>
        <w:t>Figshare</w:t>
      </w:r>
      <w:proofErr w:type="spellEnd"/>
      <w:r>
        <w:rPr>
          <w:b/>
          <w:bCs/>
          <w:color w:val="2E5FA3"/>
        </w:rPr>
        <w:t xml:space="preserve"> Deposits</w:t>
      </w:r>
    </w:p>
    <w:p w14:paraId="2FE15E64" w14:textId="77777777" w:rsidR="00972C6F" w:rsidRDefault="006B18E7">
      <w:pPr>
        <w:spacing w:before="80" w:after="120"/>
      </w:pPr>
      <w:r>
        <w:t xml:space="preserve">Individual study datasets deposited under Creative Commons Attribution (CC-BY) licences — which explicitly permit commercial use — will be identified through systematic search of </w:t>
      </w:r>
      <w:proofErr w:type="spellStart"/>
      <w:r>
        <w:t>Zenodo</w:t>
      </w:r>
      <w:proofErr w:type="spellEnd"/>
      <w:r>
        <w:t xml:space="preserve"> and </w:t>
      </w:r>
      <w:proofErr w:type="spellStart"/>
      <w:r>
        <w:t>Figshare</w:t>
      </w:r>
      <w:proofErr w:type="spellEnd"/>
      <w:r>
        <w:t xml:space="preserve"> using periodontal, oral health, and longitudinal search terms. Sample sizes from individual deposits are typically modest (n = 100–500), but multiple deposits can be pooled for training data purposes. The AI scientists will conduct automated licence verification before any dataset is used.</w:t>
      </w:r>
    </w:p>
    <w:p w14:paraId="73EEF712" w14:textId="77777777" w:rsidR="00972C6F" w:rsidRDefault="006B18E7">
      <w:pPr>
        <w:pStyle w:val="Heading2"/>
        <w:spacing w:before="240" w:after="120"/>
      </w:pPr>
      <w:r>
        <w:rPr>
          <w:b/>
          <w:bCs/>
          <w:color w:val="2E5FA3"/>
        </w:rPr>
        <w:t>2.5 Synthetic Population Generation Framework</w:t>
      </w:r>
    </w:p>
    <w:p w14:paraId="31895817" w14:textId="77777777" w:rsidR="00972C6F" w:rsidRDefault="006B18E7">
      <w:pPr>
        <w:spacing w:before="80" w:after="120"/>
      </w:pPr>
      <w:r>
        <w:t>Published parameters from the above sources will be used to generate a synthetic longitudinal population using the SDV (Synthetic Data Vault) library in Python, preserving joint distributions, longitudinal correlation structures, and covariate effects reported in the source literature. Synthetic data generation will be validated by comparing marginal distributions and key bivariate associations against published summary statistics. This methodology is consistent with established microsimulation practice and does not constitute re-analysis of restricted data.</w:t>
      </w:r>
    </w:p>
    <w:p w14:paraId="7D052938" w14:textId="77777777" w:rsidR="00972C6F" w:rsidRDefault="00972C6F">
      <w:pPr>
        <w:pBdr>
          <w:bottom w:val="single" w:sz="4" w:space="1" w:color="2E5FA3"/>
        </w:pBdr>
        <w:spacing w:before="160" w:after="160"/>
      </w:pPr>
    </w:p>
    <w:p w14:paraId="4A0B3265" w14:textId="77777777" w:rsidR="00972C6F" w:rsidRDefault="006B18E7">
      <w:pPr>
        <w:pStyle w:val="Heading1"/>
        <w:spacing w:before="320" w:after="160"/>
      </w:pPr>
      <w:r>
        <w:rPr>
          <w:b/>
          <w:bCs/>
          <w:color w:val="1F3864"/>
        </w:rPr>
        <w:t>3. Methods</w:t>
      </w:r>
    </w:p>
    <w:p w14:paraId="2A9919A5" w14:textId="77777777" w:rsidR="00972C6F" w:rsidRDefault="006B18E7">
      <w:pPr>
        <w:pStyle w:val="Heading2"/>
        <w:spacing w:before="240" w:after="120"/>
      </w:pPr>
      <w:r>
        <w:rPr>
          <w:b/>
          <w:bCs/>
          <w:color w:val="2E5FA3"/>
        </w:rPr>
        <w:t>3.1 Study Design</w:t>
      </w:r>
    </w:p>
    <w:p w14:paraId="4E799752" w14:textId="77777777" w:rsidR="00972C6F" w:rsidRDefault="006B18E7">
      <w:pPr>
        <w:spacing w:before="80" w:after="120"/>
      </w:pPr>
      <w:r>
        <w:t xml:space="preserve">This is a methodological proof-of-concept study comparing AI-derived periodontal disease transition probabilities against literature-derived parameters currently used in health economic </w:t>
      </w:r>
      <w:proofErr w:type="gramStart"/>
      <w:r>
        <w:t>models, and</w:t>
      </w:r>
      <w:proofErr w:type="gramEnd"/>
      <w:r>
        <w:t xml:space="preserve"> evaluating the impact of this methodological choice on model outputs (ICERs). The study follows a three-stage design: (1) survival ML model training and transition probability extraction; (2) integration of AI-derived parameters into a validated Markov model structure; (3) cross-country economic analysis and comparison with literature-derived parameters.</w:t>
      </w:r>
    </w:p>
    <w:p w14:paraId="29AF1076" w14:textId="77777777" w:rsidR="00972C6F" w:rsidRDefault="006B18E7">
      <w:pPr>
        <w:pStyle w:val="Heading2"/>
        <w:spacing w:before="240" w:after="120"/>
      </w:pPr>
      <w:r>
        <w:rPr>
          <w:b/>
          <w:bCs/>
          <w:color w:val="2E5FA3"/>
        </w:rPr>
        <w:t>3.2 Periodontal Disease State Definition</w:t>
      </w:r>
    </w:p>
    <w:p w14:paraId="3C175962" w14:textId="77777777" w:rsidR="00972C6F" w:rsidRDefault="006B18E7">
      <w:pPr>
        <w:spacing w:before="80" w:after="120"/>
      </w:pPr>
      <w:r>
        <w:t>The model will define five mutually exclusive health states, consistent with the 2018 EFP/AAP classification:</w:t>
      </w:r>
    </w:p>
    <w:p w14:paraId="66CCC843" w14:textId="77777777" w:rsidR="00972C6F" w:rsidRDefault="006B18E7">
      <w:pPr>
        <w:pStyle w:val="ListParagraph"/>
        <w:numPr>
          <w:ilvl w:val="0"/>
          <w:numId w:val="2"/>
        </w:numPr>
        <w:spacing w:before="40" w:after="40"/>
      </w:pPr>
      <w:r>
        <w:lastRenderedPageBreak/>
        <w:t>State 1: Periodontal health (no sites with CAL ≥2 mm, no BOP at &gt;25% of sites)</w:t>
      </w:r>
    </w:p>
    <w:p w14:paraId="592B8D00" w14:textId="77777777" w:rsidR="00972C6F" w:rsidRDefault="006B18E7">
      <w:pPr>
        <w:pStyle w:val="ListParagraph"/>
        <w:numPr>
          <w:ilvl w:val="0"/>
          <w:numId w:val="2"/>
        </w:numPr>
        <w:spacing w:before="40" w:after="40"/>
      </w:pPr>
      <w:r>
        <w:t>State 2: Gingivitis / Stage I Periodontitis (CAL 1–2 mm, pocket depth ≤4 mm)</w:t>
      </w:r>
    </w:p>
    <w:p w14:paraId="76CD30F5" w14:textId="77777777" w:rsidR="00972C6F" w:rsidRDefault="006B18E7">
      <w:pPr>
        <w:pStyle w:val="ListParagraph"/>
        <w:numPr>
          <w:ilvl w:val="0"/>
          <w:numId w:val="2"/>
        </w:numPr>
        <w:spacing w:before="40" w:after="40"/>
      </w:pPr>
      <w:r>
        <w:t>State 3: Stage II Periodontitis (CAL 3–4 mm, maximum pocket depth 5–6 mm)</w:t>
      </w:r>
    </w:p>
    <w:p w14:paraId="38DC1FCA" w14:textId="77777777" w:rsidR="00972C6F" w:rsidRDefault="006B18E7">
      <w:pPr>
        <w:pStyle w:val="ListParagraph"/>
        <w:numPr>
          <w:ilvl w:val="0"/>
          <w:numId w:val="2"/>
        </w:numPr>
        <w:spacing w:before="40" w:after="40"/>
      </w:pPr>
      <w:r>
        <w:t>State 4: Stage III/IV Periodontitis (CAL ≥5 mm, pocket depth ≧7 mm, or tooth loss due to periodontitis)</w:t>
      </w:r>
    </w:p>
    <w:p w14:paraId="6FBC5ABA" w14:textId="77777777" w:rsidR="00972C6F" w:rsidRDefault="006B18E7">
      <w:pPr>
        <w:pStyle w:val="ListParagraph"/>
        <w:numPr>
          <w:ilvl w:val="0"/>
          <w:numId w:val="2"/>
        </w:numPr>
        <w:spacing w:before="40" w:after="40"/>
      </w:pPr>
      <w:r>
        <w:t>State 5: Edentulism (complete tooth loss)</w:t>
      </w:r>
    </w:p>
    <w:p w14:paraId="27F18350" w14:textId="77777777" w:rsidR="00972C6F" w:rsidRDefault="006B18E7">
      <w:pPr>
        <w:spacing w:before="80" w:after="120"/>
      </w:pPr>
      <w:r>
        <w:t>State 5 is absorbing for the periodontal model. Death is included as a competing absorbing state using published UK and US life tables stratified by age and sex. Reversibility (States 3→2 and 4→3) following successful periodontal treatment will be modelled as a covariate-dependent parameter estimated from the treatment response literature.</w:t>
      </w:r>
    </w:p>
    <w:p w14:paraId="774763B5" w14:textId="77777777" w:rsidR="00972C6F" w:rsidRDefault="006B18E7">
      <w:pPr>
        <w:pStyle w:val="Heading2"/>
        <w:spacing w:before="240" w:after="120"/>
      </w:pPr>
      <w:r>
        <w:rPr>
          <w:b/>
          <w:bCs/>
          <w:color w:val="2E5FA3"/>
        </w:rPr>
        <w:t>3.3 AI Model Architecture</w:t>
      </w:r>
    </w:p>
    <w:p w14:paraId="08C91A2F" w14:textId="77777777" w:rsidR="00972C6F" w:rsidRDefault="006B18E7">
      <w:pPr>
        <w:spacing w:before="180" w:after="80"/>
      </w:pPr>
      <w:r>
        <w:rPr>
          <w:b/>
          <w:bCs/>
          <w:color w:val="333333"/>
          <w:sz w:val="24"/>
          <w:szCs w:val="24"/>
        </w:rPr>
        <w:t>Stage 1: Random Survival Forest with Longitudinal Predictors</w:t>
      </w:r>
    </w:p>
    <w:p w14:paraId="25FE2144" w14:textId="77777777" w:rsidR="00972C6F" w:rsidRDefault="006B18E7">
      <w:pPr>
        <w:spacing w:before="80" w:after="120"/>
      </w:pPr>
      <w:r>
        <w:t xml:space="preserve">The primary AI approach will use the </w:t>
      </w:r>
      <w:proofErr w:type="spellStart"/>
      <w:r>
        <w:t>DynForest</w:t>
      </w:r>
      <w:proofErr w:type="spellEnd"/>
      <w:r>
        <w:t xml:space="preserve"> framework (Devaux et al., 2023, Statistical Methods in Medical Research), implemented in R. </w:t>
      </w:r>
      <w:proofErr w:type="spellStart"/>
      <w:r>
        <w:t>DynForest</w:t>
      </w:r>
      <w:proofErr w:type="spellEnd"/>
      <w:r>
        <w:t xml:space="preserve"> extends competing-risk Random Survival Forests to handle endogenous longitudinal predictors by internally transforming time-dependent covariates using mixed models at each tree node. Final individual event probabilities are computed as Aalen-Johansen estimators averaged across trees.</w:t>
      </w:r>
    </w:p>
    <w:p w14:paraId="214EFD47" w14:textId="77777777" w:rsidR="00972C6F" w:rsidRDefault="006B18E7">
      <w:pPr>
        <w:spacing w:before="80" w:after="120"/>
      </w:pPr>
      <w:r>
        <w:t>Predictors will include:</w:t>
      </w:r>
    </w:p>
    <w:p w14:paraId="6E5762E2" w14:textId="77777777" w:rsidR="00972C6F" w:rsidRDefault="006B18E7">
      <w:pPr>
        <w:pStyle w:val="ListParagraph"/>
        <w:numPr>
          <w:ilvl w:val="0"/>
          <w:numId w:val="2"/>
        </w:numPr>
        <w:spacing w:before="40" w:after="40"/>
      </w:pPr>
      <w:r>
        <w:t>Demographic: age, sex, country (UK/US), socioeconomic status</w:t>
      </w:r>
    </w:p>
    <w:p w14:paraId="29796CFE" w14:textId="77777777" w:rsidR="00972C6F" w:rsidRDefault="006B18E7">
      <w:pPr>
        <w:pStyle w:val="ListParagraph"/>
        <w:numPr>
          <w:ilvl w:val="0"/>
          <w:numId w:val="2"/>
        </w:numPr>
        <w:spacing w:before="40" w:after="40"/>
      </w:pPr>
      <w:r>
        <w:t>Clinical: baseline CAL, probing depth, bleeding on probing, tooth count, number of missing teeth</w:t>
      </w:r>
    </w:p>
    <w:p w14:paraId="32570D8A" w14:textId="77777777" w:rsidR="00972C6F" w:rsidRDefault="006B18E7">
      <w:pPr>
        <w:pStyle w:val="ListParagraph"/>
        <w:numPr>
          <w:ilvl w:val="0"/>
          <w:numId w:val="2"/>
        </w:numPr>
        <w:spacing w:before="40" w:after="40"/>
      </w:pPr>
      <w:r>
        <w:t>Systemic: diabetes status, HbA1c, BMI, smoking status, CVD history</w:t>
      </w:r>
    </w:p>
    <w:p w14:paraId="50AF22A0" w14:textId="77777777" w:rsidR="00972C6F" w:rsidRDefault="006B18E7">
      <w:pPr>
        <w:pStyle w:val="ListParagraph"/>
        <w:numPr>
          <w:ilvl w:val="0"/>
          <w:numId w:val="2"/>
        </w:numPr>
        <w:spacing w:before="40" w:after="40"/>
      </w:pPr>
      <w:r>
        <w:t>Longitudinal: change in CAL across visits, plaque score trajectory, visit compliance</w:t>
      </w:r>
    </w:p>
    <w:p w14:paraId="69D03681" w14:textId="77777777" w:rsidR="00972C6F" w:rsidRDefault="006B18E7">
      <w:pPr>
        <w:spacing w:before="80" w:after="120"/>
      </w:pPr>
      <w:r>
        <w:t>Model performance will be assessed using Harrell’s C-statistic, time-dependent AUC, and integrated Brier score with bootstrap confidence intervals.</w:t>
      </w:r>
    </w:p>
    <w:p w14:paraId="73C7DFA8" w14:textId="77777777" w:rsidR="00972C6F" w:rsidRDefault="006B18E7">
      <w:pPr>
        <w:spacing w:before="180" w:after="80"/>
      </w:pPr>
      <w:r>
        <w:rPr>
          <w:b/>
          <w:bCs/>
          <w:color w:val="333333"/>
          <w:sz w:val="24"/>
          <w:szCs w:val="24"/>
        </w:rPr>
        <w:t>Stage 2: Dynamic-</w:t>
      </w:r>
      <w:proofErr w:type="spellStart"/>
      <w:r>
        <w:rPr>
          <w:b/>
          <w:bCs/>
          <w:color w:val="333333"/>
          <w:sz w:val="24"/>
          <w:szCs w:val="24"/>
        </w:rPr>
        <w:t>DeepHit</w:t>
      </w:r>
      <w:proofErr w:type="spellEnd"/>
      <w:r>
        <w:rPr>
          <w:b/>
          <w:bCs/>
          <w:color w:val="333333"/>
          <w:sz w:val="24"/>
          <w:szCs w:val="24"/>
        </w:rPr>
        <w:t xml:space="preserve"> for Competing Risks</w:t>
      </w:r>
    </w:p>
    <w:p w14:paraId="55DC2658" w14:textId="77777777" w:rsidR="00972C6F" w:rsidRDefault="006B18E7">
      <w:pPr>
        <w:spacing w:before="80" w:after="120"/>
      </w:pPr>
      <w:r>
        <w:t>As a secondary AI approach, Dynamic-</w:t>
      </w:r>
      <w:proofErr w:type="spellStart"/>
      <w:r>
        <w:t>DeepHit</w:t>
      </w:r>
      <w:proofErr w:type="spellEnd"/>
      <w:r>
        <w:t xml:space="preserve"> (Lee et al., 2019, IEEE Transactions on Biomedical Engineering) will be implemented to handle the competing risk structure of the model (progression versus tooth loss versus death). This deep learning architecture jointly models longitudinal trajectories and cause-specific cumulative incidence functions, making no parametric assumptions about the underlying hazard. The AI scientists will lead implementation using Python (</w:t>
      </w:r>
      <w:proofErr w:type="spellStart"/>
      <w:r>
        <w:t>PyTorch</w:t>
      </w:r>
      <w:proofErr w:type="spellEnd"/>
      <w:r>
        <w:t>).</w:t>
      </w:r>
    </w:p>
    <w:p w14:paraId="79B7D09D" w14:textId="77777777" w:rsidR="00972C6F" w:rsidRDefault="006B18E7">
      <w:pPr>
        <w:spacing w:before="180" w:after="80"/>
      </w:pPr>
      <w:r>
        <w:rPr>
          <w:b/>
          <w:bCs/>
          <w:color w:val="333333"/>
          <w:sz w:val="24"/>
          <w:szCs w:val="24"/>
        </w:rPr>
        <w:t>Stage 3: Transition Probability Extraction</w:t>
      </w:r>
    </w:p>
    <w:p w14:paraId="1BCAFE4A" w14:textId="77777777" w:rsidR="00972C6F" w:rsidRDefault="006B18E7">
      <w:pPr>
        <w:spacing w:before="80" w:after="120"/>
      </w:pPr>
      <w:r>
        <w:t>Individual-level predicted probabilities from both models will be aggregated into covariate-stratified transition probability matrices. Strata will be defined by: (1) diabetes status (yes/no); (2) smoking status (current/former/never); (3) age group (18–44, 45–64, 65+); (4) country (UK/US). This produces 24 stratified transition matrices, each with associated uncertainty intervals from bootstrap resampling (1,000 iterations).</w:t>
      </w:r>
    </w:p>
    <w:p w14:paraId="558A1C0C" w14:textId="77777777" w:rsidR="00972C6F" w:rsidRDefault="006B18E7">
      <w:pPr>
        <w:pStyle w:val="Heading2"/>
        <w:spacing w:before="240" w:after="120"/>
      </w:pPr>
      <w:r>
        <w:rPr>
          <w:b/>
          <w:bCs/>
          <w:color w:val="2E5FA3"/>
        </w:rPr>
        <w:t>3.4 Markov Model Integration</w:t>
      </w:r>
    </w:p>
    <w:p w14:paraId="2E62D6EC" w14:textId="7F147CDB" w:rsidR="00972C6F" w:rsidRDefault="006B18E7">
      <w:pPr>
        <w:spacing w:before="80" w:after="120"/>
      </w:pPr>
      <w:r>
        <w:t xml:space="preserve">AI-derived transition probability matrices will be integrated into a cohort Markov model implemented in </w:t>
      </w:r>
      <w:r w:rsidR="001F5535">
        <w:t>Python (existing model).</w:t>
      </w:r>
      <w:r>
        <w:t xml:space="preserve"> The model structure, state definitions, and utility weights will be held constant across comparisons; only the source of transition probabilities (AI-derived vs. literature-derived) will vary. The model will run over a 10-year and lifetime horizon with annual cycles, using a 3.5% discount rate (UK NICE) and a 3% discount rate (US Panel on Cost-Effectiveness in Health and Medicine).</w:t>
      </w:r>
    </w:p>
    <w:p w14:paraId="20DBD80E" w14:textId="77777777" w:rsidR="00972C6F" w:rsidRDefault="006B18E7">
      <w:pPr>
        <w:spacing w:before="80" w:after="120"/>
      </w:pPr>
      <w:r>
        <w:lastRenderedPageBreak/>
        <w:t>Costs will be assigned using NHS dental banding charges (UK) and ADA CDT procedure codes with Medicare/Medicaid fee schedules (US). Utility weights will be drawn from published periodontal disease health state utility studies, supplemented by EQ-5D mapping from OHIP-14 data where available.</w:t>
      </w:r>
    </w:p>
    <w:p w14:paraId="2CFC4D08" w14:textId="77777777" w:rsidR="00972C6F" w:rsidRDefault="006B18E7">
      <w:pPr>
        <w:pStyle w:val="Heading2"/>
        <w:spacing w:before="240" w:after="120"/>
      </w:pPr>
      <w:r>
        <w:rPr>
          <w:b/>
          <w:bCs/>
          <w:color w:val="2E5FA3"/>
        </w:rPr>
        <w:t>3.5 Comparative Analysis</w:t>
      </w:r>
    </w:p>
    <w:p w14:paraId="6623EB5E" w14:textId="77777777" w:rsidR="00972C6F" w:rsidRDefault="006B18E7">
      <w:pPr>
        <w:spacing w:before="80" w:after="120"/>
      </w:pPr>
      <w:r>
        <w:t>The primary comparison will estimate the ICER for non-surgical periodontal therapy (NSPT) versus no treatment using: (a) literature-derived transition probabilities from the Needleman et al. (2018) systematic review; and (b) AI-derived covariate-stratified transition probabilities from Stages 1–3. Secondary analyses will assess ICERs for NSPT in diabetes patients, surgical versus non-surgical therapy, and supportive periodontal therapy frequency.</w:t>
      </w:r>
    </w:p>
    <w:p w14:paraId="0B096F96" w14:textId="77777777" w:rsidR="00972C6F" w:rsidRDefault="006B18E7">
      <w:pPr>
        <w:spacing w:before="80" w:after="120"/>
      </w:pPr>
      <w:r>
        <w:t>The primary outcome measure is whether AI-derived transition probabilities produce materially different ICERs (defined as &gt;20% change in the ICER point estimate or a change in the cost-effectiveness decision at the NICE threshold) compared to literature-derived parameters. The economic value of improved precision will be quantified using Expected Value of Perfect Parameter Information (EVPPI) analysis for the transition probability parameters.</w:t>
      </w:r>
    </w:p>
    <w:p w14:paraId="040A7954" w14:textId="77777777" w:rsidR="00972C6F" w:rsidRDefault="006B18E7">
      <w:pPr>
        <w:pStyle w:val="Heading2"/>
        <w:spacing w:before="240" w:after="120"/>
      </w:pPr>
      <w:r>
        <w:rPr>
          <w:b/>
          <w:bCs/>
          <w:color w:val="2E5FA3"/>
        </w:rPr>
        <w:t>3.6 Uncertainty Analysis</w:t>
      </w:r>
    </w:p>
    <w:p w14:paraId="20DD48F6" w14:textId="77777777" w:rsidR="00972C6F" w:rsidRDefault="006B18E7">
      <w:pPr>
        <w:spacing w:before="80" w:after="120"/>
      </w:pPr>
      <w:r>
        <w:t>Probabilistic sensitivity analysis (PSA) will propagate uncertainty from all model parameters simultaneously using Monte Carlo simulation (10,000 samples). For AI-derived parameters, bootstrap-derived distributions will replace the standard beta-distribution assumptions used for literature-derived parameters, providing a more empirically grounded representation of parameter uncertainty. Cost-effectiveness acceptability curves (CEACs) will be generated for both UK and US threshold ranges.</w:t>
      </w:r>
    </w:p>
    <w:p w14:paraId="6444B6BE" w14:textId="77777777" w:rsidR="00972C6F" w:rsidRDefault="00972C6F">
      <w:pPr>
        <w:pBdr>
          <w:bottom w:val="single" w:sz="4" w:space="1" w:color="2E5FA3"/>
        </w:pBdr>
        <w:spacing w:before="160" w:after="160"/>
      </w:pPr>
    </w:p>
    <w:p w14:paraId="3B238BC3" w14:textId="77777777" w:rsidR="00972C6F" w:rsidRDefault="006B18E7">
      <w:pPr>
        <w:pStyle w:val="Heading1"/>
        <w:spacing w:before="320" w:after="160"/>
      </w:pPr>
      <w:r>
        <w:rPr>
          <w:b/>
          <w:bCs/>
          <w:color w:val="1F3864"/>
        </w:rPr>
        <w:t>4. Precedent Studies</w:t>
      </w:r>
    </w:p>
    <w:p w14:paraId="5DB59187" w14:textId="77777777" w:rsidR="00972C6F" w:rsidRDefault="006B18E7">
      <w:pPr>
        <w:pStyle w:val="Heading2"/>
        <w:spacing w:before="240" w:after="120"/>
      </w:pPr>
      <w:r>
        <w:rPr>
          <w:b/>
          <w:bCs/>
          <w:color w:val="2E5FA3"/>
        </w:rPr>
        <w:t>4.1 Periodontal Disease: Existing Multi-State and Longitudinal Models</w:t>
      </w:r>
    </w:p>
    <w:p w14:paraId="199CD225" w14:textId="77777777" w:rsidR="00972C6F" w:rsidRDefault="006B18E7">
      <w:pPr>
        <w:spacing w:before="80" w:after="120"/>
      </w:pPr>
      <w:r>
        <w:t>Saag et al. (2014) — Comparing CAL and pocket depth for predicting periodontal disease progression using multi-state Markov models. This is the closest methodological precedent, applying continuous-time Markov models with constant transition rates to CAL/BOP data from the Goodson dataset. The study estimated transition intensities across a three-state model (health, gingivitis, chronic periodontitis) with covariate adjustment. The present study extends this by (a) replacing constant-rate parametric estimation with ML survival models, (b) incorporating the full five-state disease continuum, (c) adding systemic covariates (diabetes, BMI) and (d) linking directly to economic outcomes.</w:t>
      </w:r>
    </w:p>
    <w:p w14:paraId="303690B6" w14:textId="77777777" w:rsidR="00972C6F" w:rsidRDefault="006B18E7">
      <w:pPr>
        <w:spacing w:before="80" w:after="120"/>
      </w:pPr>
      <w:r>
        <w:t>Preshaw et al. (2017) — Patterns of periodontal disease progression based on linear mixed models of CAL. Demonstrated that LMM-defined progression shows systematic differences from threshold-based approaches, with 42–77% of sites classified as progressing showing subsequent reversal. This finding motivates the use of ML methods that can capture this non-stationary, non-linear behaviour more accurately than fixed-rate Markov models.</w:t>
      </w:r>
    </w:p>
    <w:p w14:paraId="385A6398" w14:textId="77777777" w:rsidR="00972C6F" w:rsidRDefault="006B18E7">
      <w:pPr>
        <w:pStyle w:val="Heading2"/>
        <w:spacing w:before="240" w:after="120"/>
      </w:pPr>
      <w:r>
        <w:rPr>
          <w:b/>
          <w:bCs/>
          <w:color w:val="2E5FA3"/>
        </w:rPr>
        <w:t>4.2 Other Chronic Diseases: AI-Derived Transition Probabilities</w:t>
      </w:r>
    </w:p>
    <w:p w14:paraId="7EAB9103" w14:textId="77777777" w:rsidR="00972C6F" w:rsidRDefault="006B18E7">
      <w:pPr>
        <w:spacing w:before="80" w:after="120"/>
      </w:pPr>
      <w:r>
        <w:t xml:space="preserve">Haug et al. (2024, JAMIA) — Markov modelling for cost-effectiveness using federated health data networks. Demonstrated that patient-level state trajectories derived from longitudinal EHR data using the </w:t>
      </w:r>
      <w:proofErr w:type="spellStart"/>
      <w:r>
        <w:t>TrajectoryMarkovAnalysis</w:t>
      </w:r>
      <w:proofErr w:type="spellEnd"/>
      <w:r>
        <w:t xml:space="preserve"> R package could replicate UK heart failure Markov analyses across five international databases (Estonia, Spain, Serbia, US), with no statistically significant differences between observed and generated transition data by log-rank test. This provides the strongest methodological precedent for the international validation approach proposed here.</w:t>
      </w:r>
    </w:p>
    <w:p w14:paraId="16E71548" w14:textId="77777777" w:rsidR="00972C6F" w:rsidRDefault="006B18E7">
      <w:pPr>
        <w:spacing w:before="80" w:after="120"/>
      </w:pPr>
      <w:proofErr w:type="spellStart"/>
      <w:r>
        <w:lastRenderedPageBreak/>
        <w:t>Vrahatis</w:t>
      </w:r>
      <w:proofErr w:type="spellEnd"/>
      <w:r>
        <w:t xml:space="preserve"> et al. / ADNI studies (2022–2024) — Multiple groups have applied Random Survival Forest and </w:t>
      </w:r>
      <w:proofErr w:type="spellStart"/>
      <w:r>
        <w:t>TransformerJM</w:t>
      </w:r>
      <w:proofErr w:type="spellEnd"/>
      <w:r>
        <w:t xml:space="preserve"> architectures to the Alzheimer’s Disease Neuroimaging Initiative (ADNI) dataset to predict MCI-to-AD conversion probabilities, demonstrating superior discriminative performance over Cox proportional hazards benchmarks. These studies establish RSF as the recommended baseline ML survival architecture for longitudinal clinical data with irregular sampling — the same data structure characterising multi-wave periodontal cohorts.</w:t>
      </w:r>
    </w:p>
    <w:p w14:paraId="3A2821EE" w14:textId="77777777" w:rsidR="00972C6F" w:rsidRDefault="006B18E7">
      <w:pPr>
        <w:spacing w:before="80" w:after="120"/>
      </w:pPr>
      <w:r>
        <w:t>Keane et al. (</w:t>
      </w:r>
      <w:proofErr w:type="spellStart"/>
      <w:r>
        <w:t>npj</w:t>
      </w:r>
      <w:proofErr w:type="spellEnd"/>
      <w:r>
        <w:t xml:space="preserve"> Digital Medicine, 2026) — Health economic simulation modelling of an AI-enabled coronary revascularisation decision support system. Using real-world data from 25,942 patients with obstructive coronary artery disease, demonstrated that at a willingness-to-pay of $50,000/QALY, AI-optimised treatment decisions produced mean cost savings of approximately $22,960 and QALY gains equivalent to approximately $22,439 per patient. This represents the most direct precedent for AI-informed health economic simulation in a chronic disease context and establishes the feasibility of the approach proposed here for periodontal disease.</w:t>
      </w:r>
    </w:p>
    <w:p w14:paraId="30AA78D6" w14:textId="77777777" w:rsidR="00972C6F" w:rsidRDefault="006B18E7">
      <w:pPr>
        <w:spacing w:before="80" w:after="120"/>
      </w:pPr>
      <w:proofErr w:type="spellStart"/>
      <w:r>
        <w:t>Langenberger</w:t>
      </w:r>
      <w:proofErr w:type="spellEnd"/>
      <w:r>
        <w:t xml:space="preserve"> et al. (2023, PLOS ONE) — Machine learning for predicting high-cost patients using healthcare claims data. Applied RF, GBM, ANN, and logistic regression to German sickness fund data, with RF achieving AUC 0.883. Demonstrates the feasibility of using ML-derived individual risk scores to inform resource allocation decisions — conceptually parallel to using AI-derived transition probabilities to improve cost-effectiveness threshold decisions.</w:t>
      </w:r>
    </w:p>
    <w:p w14:paraId="16EA6743" w14:textId="77777777" w:rsidR="00972C6F" w:rsidRDefault="00972C6F">
      <w:pPr>
        <w:pBdr>
          <w:bottom w:val="single" w:sz="4" w:space="1" w:color="2E5FA3"/>
        </w:pBdr>
        <w:spacing w:before="160" w:after="160"/>
      </w:pPr>
    </w:p>
    <w:p w14:paraId="39882DB0" w14:textId="77777777" w:rsidR="00972C6F" w:rsidRDefault="006B18E7">
      <w:pPr>
        <w:pStyle w:val="Heading1"/>
        <w:spacing w:before="320" w:after="160"/>
      </w:pPr>
      <w:r>
        <w:rPr>
          <w:b/>
          <w:bCs/>
          <w:color w:val="1F3864"/>
        </w:rPr>
        <w:t>5. Expected Outputs and Contribution</w:t>
      </w:r>
    </w:p>
    <w:p w14:paraId="384D8331" w14:textId="77777777" w:rsidR="00972C6F" w:rsidRDefault="006B18E7">
      <w:pPr>
        <w:pStyle w:val="Heading2"/>
        <w:spacing w:before="240" w:after="120"/>
      </w:pPr>
      <w:r>
        <w:rPr>
          <w:b/>
          <w:bCs/>
          <w:color w:val="2E5FA3"/>
        </w:rPr>
        <w:t>5.1 Primary Publication</w:t>
      </w:r>
    </w:p>
    <w:p w14:paraId="10AEC8DE" w14:textId="77777777" w:rsidR="00972C6F" w:rsidRDefault="006B18E7">
      <w:pPr>
        <w:spacing w:before="80" w:after="120"/>
      </w:pPr>
      <w:r>
        <w:t xml:space="preserve">The primary output will be a methods paper targeting Value in Health, Medical Decision Making, or </w:t>
      </w:r>
      <w:proofErr w:type="spellStart"/>
      <w:r>
        <w:t>npj</w:t>
      </w:r>
      <w:proofErr w:type="spellEnd"/>
      <w:r>
        <w:t xml:space="preserve"> Digital Medicine demonstrating that AI-derived covariate-stratified transition probabilities for periodontal disease: (1) are feasible to derive from published longitudinal data without direct data access; (2) differ materially from literature-derived population-average parameters; and (3) produce different cost-effectiveness conclusions for periodontal interventions in identifiable patient subgroups. The cross-country design strengthens both the generalisability claim and the novelty of the international comparison.</w:t>
      </w:r>
    </w:p>
    <w:p w14:paraId="1C5CACDD" w14:textId="77777777" w:rsidR="00972C6F" w:rsidRDefault="006B18E7">
      <w:pPr>
        <w:pStyle w:val="Heading2"/>
        <w:spacing w:before="240" w:after="120"/>
      </w:pPr>
      <w:r>
        <w:rPr>
          <w:b/>
          <w:bCs/>
          <w:color w:val="2E5FA3"/>
        </w:rPr>
        <w:t>5.2 Secondary Outputs</w:t>
      </w:r>
    </w:p>
    <w:p w14:paraId="2A606750" w14:textId="77777777" w:rsidR="00972C6F" w:rsidRDefault="006B18E7">
      <w:pPr>
        <w:pStyle w:val="ListParagraph"/>
        <w:numPr>
          <w:ilvl w:val="0"/>
          <w:numId w:val="2"/>
        </w:numPr>
        <w:spacing w:before="40" w:after="40"/>
      </w:pPr>
      <w:r>
        <w:t>An open-source R package implementing the AI-Markov pipeline, enabling other researchers to apply the method to their periodontal (or other disease) longitudinal datasets.</w:t>
      </w:r>
    </w:p>
    <w:p w14:paraId="4F683769" w14:textId="77777777" w:rsidR="00972C6F" w:rsidRDefault="006B18E7">
      <w:pPr>
        <w:pStyle w:val="ListParagraph"/>
        <w:numPr>
          <w:ilvl w:val="0"/>
          <w:numId w:val="2"/>
        </w:numPr>
        <w:spacing w:before="40" w:after="40"/>
      </w:pPr>
      <w:r>
        <w:t>A publicly available synthetic longitudinal periodontal dataset generated from the published parameter synthesis, enabling future model validation studies.</w:t>
      </w:r>
    </w:p>
    <w:p w14:paraId="6C229EB1" w14:textId="77777777" w:rsidR="00972C6F" w:rsidRDefault="006B18E7">
      <w:pPr>
        <w:pStyle w:val="ListParagraph"/>
        <w:numPr>
          <w:ilvl w:val="0"/>
          <w:numId w:val="2"/>
        </w:numPr>
        <w:spacing w:before="40" w:after="40"/>
      </w:pPr>
      <w:r>
        <w:t>A EVPPI analysis identifying which transition probability parameters have the highest value for future primary data collection — informing the design of any future prospective study.</w:t>
      </w:r>
    </w:p>
    <w:p w14:paraId="072EED8E" w14:textId="77777777" w:rsidR="00972C6F" w:rsidRDefault="006B18E7">
      <w:pPr>
        <w:pStyle w:val="Heading2"/>
        <w:spacing w:before="240" w:after="120"/>
      </w:pPr>
      <w:r>
        <w:rPr>
          <w:b/>
          <w:bCs/>
          <w:color w:val="2E5FA3"/>
        </w:rPr>
        <w:t>5.3 Positioning in the Broader Research Programme</w:t>
      </w:r>
    </w:p>
    <w:p w14:paraId="2E5C20CD" w14:textId="77777777" w:rsidR="00972C6F" w:rsidRDefault="006B18E7">
      <w:pPr>
        <w:spacing w:before="80" w:after="120"/>
      </w:pPr>
      <w:r>
        <w:t>This paper is conceived as Stage 1 of a three-paper programme integrating AI methods into periodontal health economics. Stage 2 would apply the validated framework to the specific economic question relevant to the company’s prosthetic context: the cost-effectiveness of periodontal disease prevention in reducing prosthetic failure and edentulism incidence. Stage 3 would use the Value of Information analysis from Stage 1 to design and cost a primary data collection study (salivary biomarker screening or CGM-analogous continuous monitoring) that would provide the longitudinal data currently absent from the literature.</w:t>
      </w:r>
    </w:p>
    <w:p w14:paraId="1F632580" w14:textId="77777777" w:rsidR="00972C6F" w:rsidRDefault="00972C6F">
      <w:pPr>
        <w:pBdr>
          <w:bottom w:val="single" w:sz="4" w:space="1" w:color="2E5FA3"/>
        </w:pBdr>
        <w:spacing w:before="160" w:after="160"/>
      </w:pPr>
    </w:p>
    <w:p w14:paraId="39A26EDA" w14:textId="77777777" w:rsidR="00972C6F" w:rsidRDefault="006B18E7">
      <w:pPr>
        <w:pStyle w:val="Heading1"/>
        <w:spacing w:before="320" w:after="160"/>
      </w:pPr>
      <w:r>
        <w:rPr>
          <w:b/>
          <w:bCs/>
          <w:color w:val="1F3864"/>
        </w:rPr>
        <w:lastRenderedPageBreak/>
        <w:t>6. Indicative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72C6F" w14:paraId="2E1EB5EA"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tcPr>
          <w:p w14:paraId="27836262" w14:textId="77777777" w:rsidR="00972C6F" w:rsidRDefault="006B18E7">
            <w:r>
              <w:rPr>
                <w:b/>
                <w:bCs/>
                <w:color w:val="1F3864"/>
                <w:sz w:val="20"/>
                <w:szCs w:val="20"/>
              </w:rPr>
              <w:t>Phase 1 (Months 1–2)</w:t>
            </w:r>
          </w:p>
        </w:tc>
        <w:tc>
          <w:tcPr>
            <w:tcW w:w="7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662247D" w14:textId="77777777" w:rsidR="00972C6F" w:rsidRDefault="006B18E7">
            <w:r>
              <w:rPr>
                <w:sz w:val="20"/>
                <w:szCs w:val="20"/>
              </w:rPr>
              <w:t>Literature synthesis; parameter extraction from published studies; synthetic population generation and validation</w:t>
            </w:r>
          </w:p>
        </w:tc>
      </w:tr>
      <w:tr w:rsidR="00972C6F" w14:paraId="5E217C44"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tcPr>
          <w:p w14:paraId="6B359810" w14:textId="77777777" w:rsidR="00972C6F" w:rsidRDefault="006B18E7">
            <w:r>
              <w:rPr>
                <w:b/>
                <w:bCs/>
                <w:color w:val="1F3864"/>
                <w:sz w:val="20"/>
                <w:szCs w:val="20"/>
              </w:rPr>
              <w:t>Phase 2 (Months 2–4)</w:t>
            </w:r>
          </w:p>
        </w:tc>
        <w:tc>
          <w:tcPr>
            <w:tcW w:w="7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21797A6" w14:textId="77777777" w:rsidR="00972C6F" w:rsidRDefault="006B18E7">
            <w:r>
              <w:rPr>
                <w:sz w:val="20"/>
                <w:szCs w:val="20"/>
              </w:rPr>
              <w:t>AI model training and validation (RSF + Dynamic-</w:t>
            </w:r>
            <w:proofErr w:type="spellStart"/>
            <w:r>
              <w:rPr>
                <w:sz w:val="20"/>
                <w:szCs w:val="20"/>
              </w:rPr>
              <w:t>DeepHit</w:t>
            </w:r>
            <w:proofErr w:type="spellEnd"/>
            <w:r>
              <w:rPr>
                <w:sz w:val="20"/>
                <w:szCs w:val="20"/>
              </w:rPr>
              <w:t>); transition probability extraction and stratification</w:t>
            </w:r>
          </w:p>
        </w:tc>
      </w:tr>
      <w:tr w:rsidR="00972C6F" w14:paraId="4F53824D"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tcPr>
          <w:p w14:paraId="45A9290D" w14:textId="77777777" w:rsidR="00972C6F" w:rsidRDefault="006B18E7">
            <w:r>
              <w:rPr>
                <w:b/>
                <w:bCs/>
                <w:color w:val="1F3864"/>
                <w:sz w:val="20"/>
                <w:szCs w:val="20"/>
              </w:rPr>
              <w:t>Phase 3 (Months 4–6)</w:t>
            </w:r>
          </w:p>
        </w:tc>
        <w:tc>
          <w:tcPr>
            <w:tcW w:w="7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598BB3B" w14:textId="77777777" w:rsidR="00972C6F" w:rsidRDefault="006B18E7">
            <w:r>
              <w:rPr>
                <w:sz w:val="20"/>
                <w:szCs w:val="20"/>
              </w:rPr>
              <w:t>Markov model integration; ICER comparison analysis; EVPPI analysis</w:t>
            </w:r>
          </w:p>
        </w:tc>
      </w:tr>
      <w:tr w:rsidR="00972C6F" w14:paraId="727ABBDC"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tcPr>
          <w:p w14:paraId="51BAA2D5" w14:textId="77777777" w:rsidR="00972C6F" w:rsidRDefault="006B18E7">
            <w:r>
              <w:rPr>
                <w:b/>
                <w:bCs/>
                <w:color w:val="1F3864"/>
                <w:sz w:val="20"/>
                <w:szCs w:val="20"/>
              </w:rPr>
              <w:t>Phase 4 (Months 6–8)</w:t>
            </w:r>
          </w:p>
        </w:tc>
        <w:tc>
          <w:tcPr>
            <w:tcW w:w="7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0059D93" w14:textId="77777777" w:rsidR="00972C6F" w:rsidRDefault="006B18E7">
            <w:r>
              <w:rPr>
                <w:sz w:val="20"/>
                <w:szCs w:val="20"/>
              </w:rPr>
              <w:t>Cross-country comparison; PSA; manuscript preparation</w:t>
            </w:r>
          </w:p>
        </w:tc>
      </w:tr>
      <w:tr w:rsidR="00972C6F" w14:paraId="1B3C1960"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20" w:type="dxa"/>
              <w:bottom w:w="100" w:type="dxa"/>
              <w:right w:w="120" w:type="dxa"/>
            </w:tcMar>
          </w:tcPr>
          <w:p w14:paraId="6985CE3F" w14:textId="77777777" w:rsidR="00972C6F" w:rsidRDefault="006B18E7">
            <w:r>
              <w:rPr>
                <w:b/>
                <w:bCs/>
                <w:color w:val="1F3864"/>
                <w:sz w:val="20"/>
                <w:szCs w:val="20"/>
              </w:rPr>
              <w:t>Phase 5 (Months 8–10)</w:t>
            </w:r>
          </w:p>
        </w:tc>
        <w:tc>
          <w:tcPr>
            <w:tcW w:w="7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D464118" w14:textId="77777777" w:rsidR="00972C6F" w:rsidRDefault="006B18E7">
            <w:r>
              <w:rPr>
                <w:sz w:val="20"/>
                <w:szCs w:val="20"/>
              </w:rPr>
              <w:t>Journal submission; peer review response; code/data deposit</w:t>
            </w:r>
          </w:p>
        </w:tc>
      </w:tr>
    </w:tbl>
    <w:p w14:paraId="6BA641AD" w14:textId="77777777" w:rsidR="00972C6F" w:rsidRDefault="00972C6F">
      <w:pPr>
        <w:pBdr>
          <w:bottom w:val="single" w:sz="4" w:space="1" w:color="2E5FA3"/>
        </w:pBdr>
        <w:spacing w:before="160" w:after="160"/>
      </w:pPr>
    </w:p>
    <w:p w14:paraId="643286D3" w14:textId="77777777" w:rsidR="00972C6F" w:rsidRDefault="006B18E7">
      <w:pPr>
        <w:pStyle w:val="Heading1"/>
        <w:spacing w:before="320" w:after="160"/>
      </w:pPr>
      <w:r>
        <w:rPr>
          <w:b/>
          <w:bCs/>
          <w:color w:val="1F3864"/>
        </w:rPr>
        <w:t>7. Key 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972C6F" w14:paraId="1DE99D23" w14:textId="77777777">
        <w:tc>
          <w:tcPr>
            <w:tcW w:w="6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80" w:type="dxa"/>
              <w:bottom w:w="60" w:type="dxa"/>
              <w:right w:w="80" w:type="dxa"/>
            </w:tcMar>
          </w:tcPr>
          <w:p w14:paraId="016B4BF6" w14:textId="77777777" w:rsidR="00972C6F" w:rsidRDefault="006B18E7">
            <w:pPr>
              <w:jc w:val="center"/>
            </w:pPr>
            <w:r>
              <w:rPr>
                <w:b/>
                <w:bCs/>
                <w:color w:val="2E5FA3"/>
                <w:sz w:val="18"/>
                <w:szCs w:val="18"/>
              </w:rPr>
              <w:t>1</w:t>
            </w:r>
          </w:p>
        </w:tc>
        <w:tc>
          <w:tcPr>
            <w:tcW w:w="8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4DC0C9" w14:textId="77777777" w:rsidR="00972C6F" w:rsidRDefault="006B18E7">
            <w:r w:rsidRPr="0061381F">
              <w:rPr>
                <w:sz w:val="18"/>
                <w:szCs w:val="18"/>
                <w:lang w:val="it-IT"/>
              </w:rPr>
              <w:t xml:space="preserve">Carletti M, Pandit J, Gadaleta M, et al. </w:t>
            </w:r>
            <w:r>
              <w:rPr>
                <w:sz w:val="18"/>
                <w:szCs w:val="18"/>
              </w:rPr>
              <w:t>Multimodal AI correlates of glucose spikes in people with normal glucose regulation, pre-diabetes and type 2 diabetes. Nature Medicine. 2025. doi:10.1038/s41591-025-03849-7</w:t>
            </w:r>
          </w:p>
        </w:tc>
      </w:tr>
      <w:tr w:rsidR="00972C6F" w14:paraId="0C6A4B18" w14:textId="77777777">
        <w:tc>
          <w:tcPr>
            <w:tcW w:w="6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80" w:type="dxa"/>
              <w:bottom w:w="60" w:type="dxa"/>
              <w:right w:w="80" w:type="dxa"/>
            </w:tcMar>
          </w:tcPr>
          <w:p w14:paraId="263E1CF3" w14:textId="77777777" w:rsidR="00972C6F" w:rsidRDefault="006B18E7">
            <w:pPr>
              <w:jc w:val="center"/>
            </w:pPr>
            <w:r>
              <w:rPr>
                <w:b/>
                <w:bCs/>
                <w:color w:val="2E5FA3"/>
                <w:sz w:val="18"/>
                <w:szCs w:val="18"/>
              </w:rPr>
              <w:t>2</w:t>
            </w:r>
          </w:p>
        </w:tc>
        <w:tc>
          <w:tcPr>
            <w:tcW w:w="8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E94E36" w14:textId="77777777" w:rsidR="00972C6F" w:rsidRDefault="006B18E7">
            <w:r>
              <w:rPr>
                <w:sz w:val="18"/>
                <w:szCs w:val="18"/>
              </w:rPr>
              <w:t xml:space="preserve">Needleman I, Garcia R, Gkranias N, et al. Mean annual attachment, bone level, and tooth loss: A systematic review. J </w:t>
            </w:r>
            <w:proofErr w:type="spellStart"/>
            <w:r>
              <w:rPr>
                <w:sz w:val="18"/>
                <w:szCs w:val="18"/>
              </w:rPr>
              <w:t>Periodontol</w:t>
            </w:r>
            <w:proofErr w:type="spellEnd"/>
            <w:r>
              <w:rPr>
                <w:sz w:val="18"/>
                <w:szCs w:val="18"/>
              </w:rPr>
              <w:t>. 2018;89(</w:t>
            </w:r>
            <w:proofErr w:type="spellStart"/>
            <w:r>
              <w:rPr>
                <w:sz w:val="18"/>
                <w:szCs w:val="18"/>
              </w:rPr>
              <w:t>Suppl</w:t>
            </w:r>
            <w:proofErr w:type="spellEnd"/>
            <w:r>
              <w:rPr>
                <w:sz w:val="18"/>
                <w:szCs w:val="18"/>
              </w:rPr>
              <w:t xml:space="preserve"> 1</w:t>
            </w:r>
            <w:proofErr w:type="gramStart"/>
            <w:r>
              <w:rPr>
                <w:sz w:val="18"/>
                <w:szCs w:val="18"/>
              </w:rPr>
              <w:t>):S</w:t>
            </w:r>
            <w:proofErr w:type="gramEnd"/>
            <w:r>
              <w:rPr>
                <w:sz w:val="18"/>
                <w:szCs w:val="18"/>
              </w:rPr>
              <w:t>120-S139. doi:10.1002/JPER.17-0062</w:t>
            </w:r>
          </w:p>
        </w:tc>
      </w:tr>
      <w:tr w:rsidR="00972C6F" w14:paraId="265505C7" w14:textId="77777777">
        <w:tc>
          <w:tcPr>
            <w:tcW w:w="6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80" w:type="dxa"/>
              <w:bottom w:w="60" w:type="dxa"/>
              <w:right w:w="80" w:type="dxa"/>
            </w:tcMar>
          </w:tcPr>
          <w:p w14:paraId="64CF8EDD" w14:textId="77777777" w:rsidR="00972C6F" w:rsidRDefault="006B18E7">
            <w:pPr>
              <w:jc w:val="center"/>
            </w:pPr>
            <w:r>
              <w:rPr>
                <w:b/>
                <w:bCs/>
                <w:color w:val="2E5FA3"/>
                <w:sz w:val="18"/>
                <w:szCs w:val="18"/>
              </w:rPr>
              <w:t>3</w:t>
            </w:r>
          </w:p>
        </w:tc>
        <w:tc>
          <w:tcPr>
            <w:tcW w:w="8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A8A881" w14:textId="77777777" w:rsidR="00972C6F" w:rsidRDefault="006B18E7">
            <w:r>
              <w:rPr>
                <w:sz w:val="18"/>
                <w:szCs w:val="18"/>
              </w:rPr>
              <w:t>Saag MS, Preshaw PM, de Jager M, et al. Comparing clinical attachment level and pocket depth for predicting periodontal disease progression using multi-state Markov models. BMC Oral Health. 2014;14(1):45. PMC4139458</w:t>
            </w:r>
          </w:p>
        </w:tc>
      </w:tr>
      <w:tr w:rsidR="00972C6F" w14:paraId="454758B6" w14:textId="77777777">
        <w:tc>
          <w:tcPr>
            <w:tcW w:w="6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80" w:type="dxa"/>
              <w:bottom w:w="60" w:type="dxa"/>
              <w:right w:w="80" w:type="dxa"/>
            </w:tcMar>
          </w:tcPr>
          <w:p w14:paraId="26CB5D84" w14:textId="77777777" w:rsidR="00972C6F" w:rsidRDefault="006B18E7">
            <w:pPr>
              <w:jc w:val="center"/>
            </w:pPr>
            <w:r>
              <w:rPr>
                <w:b/>
                <w:bCs/>
                <w:color w:val="2E5FA3"/>
                <w:sz w:val="18"/>
                <w:szCs w:val="18"/>
              </w:rPr>
              <w:t>4</w:t>
            </w:r>
          </w:p>
        </w:tc>
        <w:tc>
          <w:tcPr>
            <w:tcW w:w="8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CF4999" w14:textId="77777777" w:rsidR="00972C6F" w:rsidRDefault="006B18E7">
            <w:r w:rsidRPr="0061381F">
              <w:rPr>
                <w:sz w:val="18"/>
                <w:szCs w:val="18"/>
                <w:lang w:val="fr-FR"/>
              </w:rPr>
              <w:t xml:space="preserve">Preshaw PM, Bissett SM, de Jager M, et al. </w:t>
            </w:r>
            <w:r>
              <w:rPr>
                <w:sz w:val="18"/>
                <w:szCs w:val="18"/>
              </w:rPr>
              <w:t>Patterns of periodontal disease progression based on linear mixed models of clinical attachment loss. J Clin Periodontol. 2017;44(12):1253-1261. doi:10.1111/jcpe.12772</w:t>
            </w:r>
          </w:p>
        </w:tc>
      </w:tr>
      <w:tr w:rsidR="00972C6F" w14:paraId="0E2D7AF7" w14:textId="77777777">
        <w:tc>
          <w:tcPr>
            <w:tcW w:w="6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80" w:type="dxa"/>
              <w:bottom w:w="60" w:type="dxa"/>
              <w:right w:w="80" w:type="dxa"/>
            </w:tcMar>
          </w:tcPr>
          <w:p w14:paraId="5D2307B2" w14:textId="77777777" w:rsidR="00972C6F" w:rsidRDefault="006B18E7">
            <w:pPr>
              <w:jc w:val="center"/>
            </w:pPr>
            <w:r>
              <w:rPr>
                <w:b/>
                <w:bCs/>
                <w:color w:val="2E5FA3"/>
                <w:sz w:val="18"/>
                <w:szCs w:val="18"/>
              </w:rPr>
              <w:t>5</w:t>
            </w:r>
          </w:p>
        </w:tc>
        <w:tc>
          <w:tcPr>
            <w:tcW w:w="8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EB1FBE" w14:textId="77777777" w:rsidR="00972C6F" w:rsidRDefault="006B18E7">
            <w:r>
              <w:rPr>
                <w:sz w:val="18"/>
                <w:szCs w:val="18"/>
              </w:rPr>
              <w:t xml:space="preserve">Ramseier CA, </w:t>
            </w:r>
            <w:proofErr w:type="spellStart"/>
            <w:r>
              <w:rPr>
                <w:sz w:val="18"/>
                <w:szCs w:val="18"/>
              </w:rPr>
              <w:t>Anerud</w:t>
            </w:r>
            <w:proofErr w:type="spellEnd"/>
            <w:r>
              <w:rPr>
                <w:sz w:val="18"/>
                <w:szCs w:val="18"/>
              </w:rPr>
              <w:t xml:space="preserve"> A, Dulac M, et al. Natural history of periodontitis: Disease progression and tooth loss over 40 years. J Clin Periodontol. 2017;44(12):1182-1191. doi:10.1111/jcpe.12782</w:t>
            </w:r>
          </w:p>
        </w:tc>
      </w:tr>
      <w:tr w:rsidR="00972C6F" w14:paraId="7B48581F" w14:textId="77777777">
        <w:tc>
          <w:tcPr>
            <w:tcW w:w="6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80" w:type="dxa"/>
              <w:bottom w:w="60" w:type="dxa"/>
              <w:right w:w="80" w:type="dxa"/>
            </w:tcMar>
          </w:tcPr>
          <w:p w14:paraId="01D31F64" w14:textId="77777777" w:rsidR="00972C6F" w:rsidRDefault="006B18E7">
            <w:pPr>
              <w:jc w:val="center"/>
            </w:pPr>
            <w:r>
              <w:rPr>
                <w:b/>
                <w:bCs/>
                <w:color w:val="2E5FA3"/>
                <w:sz w:val="18"/>
                <w:szCs w:val="18"/>
              </w:rPr>
              <w:t>6</w:t>
            </w:r>
          </w:p>
        </w:tc>
        <w:tc>
          <w:tcPr>
            <w:tcW w:w="8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67E1A6" w14:textId="77777777" w:rsidR="00972C6F" w:rsidRDefault="006B18E7">
            <w:r w:rsidRPr="0061381F">
              <w:rPr>
                <w:sz w:val="18"/>
                <w:szCs w:val="18"/>
                <w:lang w:val="fr-FR"/>
              </w:rPr>
              <w:t xml:space="preserve">Haug M, Oja M, Pajusalu M, et al. </w:t>
            </w:r>
            <w:r>
              <w:rPr>
                <w:sz w:val="18"/>
                <w:szCs w:val="18"/>
              </w:rPr>
              <w:t xml:space="preserve">Markov </w:t>
            </w:r>
            <w:proofErr w:type="spellStart"/>
            <w:r>
              <w:rPr>
                <w:sz w:val="18"/>
                <w:szCs w:val="18"/>
              </w:rPr>
              <w:t>modeling</w:t>
            </w:r>
            <w:proofErr w:type="spellEnd"/>
            <w:r>
              <w:rPr>
                <w:sz w:val="18"/>
                <w:szCs w:val="18"/>
              </w:rPr>
              <w:t xml:space="preserve"> for cost-effectiveness using federated health data network. JAMIA. 2024;31(5):1093-1101. doi:10.1093/</w:t>
            </w:r>
            <w:proofErr w:type="spellStart"/>
            <w:r>
              <w:rPr>
                <w:sz w:val="18"/>
                <w:szCs w:val="18"/>
              </w:rPr>
              <w:t>jamia</w:t>
            </w:r>
            <w:proofErr w:type="spellEnd"/>
            <w:r>
              <w:rPr>
                <w:sz w:val="18"/>
                <w:szCs w:val="18"/>
              </w:rPr>
              <w:t>/ocae044</w:t>
            </w:r>
          </w:p>
        </w:tc>
      </w:tr>
      <w:tr w:rsidR="00972C6F" w14:paraId="34359FAF" w14:textId="77777777">
        <w:tc>
          <w:tcPr>
            <w:tcW w:w="6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80" w:type="dxa"/>
              <w:bottom w:w="60" w:type="dxa"/>
              <w:right w:w="80" w:type="dxa"/>
            </w:tcMar>
          </w:tcPr>
          <w:p w14:paraId="2169A4A9" w14:textId="77777777" w:rsidR="00972C6F" w:rsidRDefault="006B18E7">
            <w:pPr>
              <w:jc w:val="center"/>
            </w:pPr>
            <w:r>
              <w:rPr>
                <w:b/>
                <w:bCs/>
                <w:color w:val="2E5FA3"/>
                <w:sz w:val="18"/>
                <w:szCs w:val="18"/>
              </w:rPr>
              <w:t>7</w:t>
            </w:r>
          </w:p>
        </w:tc>
        <w:tc>
          <w:tcPr>
            <w:tcW w:w="8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DEA38F" w14:textId="77777777" w:rsidR="00972C6F" w:rsidRDefault="006B18E7">
            <w:r>
              <w:rPr>
                <w:sz w:val="18"/>
                <w:szCs w:val="18"/>
              </w:rPr>
              <w:t xml:space="preserve">Devaux A, Helmer C, </w:t>
            </w:r>
            <w:proofErr w:type="spellStart"/>
            <w:r>
              <w:rPr>
                <w:sz w:val="18"/>
                <w:szCs w:val="18"/>
              </w:rPr>
              <w:t>Genuer</w:t>
            </w:r>
            <w:proofErr w:type="spellEnd"/>
            <w:r>
              <w:rPr>
                <w:sz w:val="18"/>
                <w:szCs w:val="18"/>
              </w:rPr>
              <w:t xml:space="preserve"> R, Proust-Lima C. Random survival forests with multivariate longitudinal endogenous covariates. Stat Methods Med Res. 2023. doi:10.1177/09622802231206709. PMC37886845</w:t>
            </w:r>
          </w:p>
        </w:tc>
      </w:tr>
      <w:tr w:rsidR="00972C6F" w14:paraId="232EE258" w14:textId="77777777">
        <w:tc>
          <w:tcPr>
            <w:tcW w:w="6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80" w:type="dxa"/>
              <w:bottom w:w="60" w:type="dxa"/>
              <w:right w:w="80" w:type="dxa"/>
            </w:tcMar>
          </w:tcPr>
          <w:p w14:paraId="083BC46F" w14:textId="77777777" w:rsidR="00972C6F" w:rsidRDefault="006B18E7">
            <w:pPr>
              <w:jc w:val="center"/>
            </w:pPr>
            <w:r>
              <w:rPr>
                <w:b/>
                <w:bCs/>
                <w:color w:val="2E5FA3"/>
                <w:sz w:val="18"/>
                <w:szCs w:val="18"/>
              </w:rPr>
              <w:t>8</w:t>
            </w:r>
          </w:p>
        </w:tc>
        <w:tc>
          <w:tcPr>
            <w:tcW w:w="8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EB9137" w14:textId="77777777" w:rsidR="00972C6F" w:rsidRDefault="006B18E7">
            <w:r>
              <w:rPr>
                <w:sz w:val="18"/>
                <w:szCs w:val="18"/>
              </w:rPr>
              <w:t>Lee C, Yoon J, van der Schaar M. Dynamic-</w:t>
            </w:r>
            <w:proofErr w:type="spellStart"/>
            <w:r>
              <w:rPr>
                <w:sz w:val="18"/>
                <w:szCs w:val="18"/>
              </w:rPr>
              <w:t>DeepHit</w:t>
            </w:r>
            <w:proofErr w:type="spellEnd"/>
            <w:r>
              <w:rPr>
                <w:sz w:val="18"/>
                <w:szCs w:val="18"/>
              </w:rPr>
              <w:t>: A Deep Learning Approach for Dynamic Survival Analysis with Competing Risks. IEEE Trans Biomed Eng. 2019. doi:10.1109/TBME.2019.2929474</w:t>
            </w:r>
          </w:p>
        </w:tc>
      </w:tr>
      <w:tr w:rsidR="00972C6F" w14:paraId="22AAFD7C" w14:textId="77777777">
        <w:tc>
          <w:tcPr>
            <w:tcW w:w="6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80" w:type="dxa"/>
              <w:bottom w:w="60" w:type="dxa"/>
              <w:right w:w="80" w:type="dxa"/>
            </w:tcMar>
          </w:tcPr>
          <w:p w14:paraId="58AE0B15" w14:textId="77777777" w:rsidR="00972C6F" w:rsidRDefault="006B18E7">
            <w:pPr>
              <w:jc w:val="center"/>
            </w:pPr>
            <w:r>
              <w:rPr>
                <w:b/>
                <w:bCs/>
                <w:color w:val="2E5FA3"/>
                <w:sz w:val="18"/>
                <w:szCs w:val="18"/>
              </w:rPr>
              <w:t>9</w:t>
            </w:r>
          </w:p>
        </w:tc>
        <w:tc>
          <w:tcPr>
            <w:tcW w:w="8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EBF88D" w14:textId="77777777" w:rsidR="00972C6F" w:rsidRDefault="006B18E7">
            <w:r>
              <w:rPr>
                <w:sz w:val="18"/>
                <w:szCs w:val="18"/>
              </w:rPr>
              <w:t xml:space="preserve">Suresh K, Taylor J, Spratt D, et al. Random survival forests for dynamic predictions of a time-to-event outcome using a longitudinal biomarker. BMC Med Res </w:t>
            </w:r>
            <w:proofErr w:type="spellStart"/>
            <w:r>
              <w:rPr>
                <w:sz w:val="18"/>
                <w:szCs w:val="18"/>
              </w:rPr>
              <w:t>Methodol</w:t>
            </w:r>
            <w:proofErr w:type="spellEnd"/>
            <w:r>
              <w:rPr>
                <w:sz w:val="18"/>
                <w:szCs w:val="18"/>
              </w:rPr>
              <w:t>. 2021;21(1):216. doi:10.1186/s12874-021-01375-x</w:t>
            </w:r>
          </w:p>
        </w:tc>
      </w:tr>
      <w:tr w:rsidR="00972C6F" w14:paraId="6ABEE083" w14:textId="77777777">
        <w:tc>
          <w:tcPr>
            <w:tcW w:w="6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80" w:type="dxa"/>
              <w:bottom w:w="60" w:type="dxa"/>
              <w:right w:w="80" w:type="dxa"/>
            </w:tcMar>
          </w:tcPr>
          <w:p w14:paraId="14CB43BC" w14:textId="77777777" w:rsidR="00972C6F" w:rsidRDefault="006B18E7">
            <w:pPr>
              <w:jc w:val="center"/>
            </w:pPr>
            <w:r>
              <w:rPr>
                <w:b/>
                <w:bCs/>
                <w:color w:val="2E5FA3"/>
                <w:sz w:val="18"/>
                <w:szCs w:val="18"/>
              </w:rPr>
              <w:t>10</w:t>
            </w:r>
          </w:p>
        </w:tc>
        <w:tc>
          <w:tcPr>
            <w:tcW w:w="8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F233ED" w14:textId="77777777" w:rsidR="00972C6F" w:rsidRDefault="006B18E7">
            <w:r>
              <w:rPr>
                <w:sz w:val="18"/>
                <w:szCs w:val="18"/>
              </w:rPr>
              <w:t xml:space="preserve">Keane P et al. Health economic simulation </w:t>
            </w:r>
            <w:proofErr w:type="spellStart"/>
            <w:r>
              <w:rPr>
                <w:sz w:val="18"/>
                <w:szCs w:val="18"/>
              </w:rPr>
              <w:t>modeling</w:t>
            </w:r>
            <w:proofErr w:type="spellEnd"/>
            <w:r>
              <w:rPr>
                <w:sz w:val="18"/>
                <w:szCs w:val="18"/>
              </w:rPr>
              <w:t xml:space="preserve"> of an AI-enabled clinical decision support system for coronary revascularization. </w:t>
            </w:r>
            <w:proofErr w:type="spellStart"/>
            <w:r>
              <w:rPr>
                <w:sz w:val="18"/>
                <w:szCs w:val="18"/>
              </w:rPr>
              <w:t>npj</w:t>
            </w:r>
            <w:proofErr w:type="spellEnd"/>
            <w:r>
              <w:rPr>
                <w:sz w:val="18"/>
                <w:szCs w:val="18"/>
              </w:rPr>
              <w:t xml:space="preserve"> Digital Medicine. 2026. doi:10.1038/s41746-026-02430-x</w:t>
            </w:r>
          </w:p>
        </w:tc>
      </w:tr>
      <w:tr w:rsidR="00972C6F" w14:paraId="3DFCB853" w14:textId="77777777">
        <w:tc>
          <w:tcPr>
            <w:tcW w:w="6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80" w:type="dxa"/>
              <w:bottom w:w="60" w:type="dxa"/>
              <w:right w:w="80" w:type="dxa"/>
            </w:tcMar>
          </w:tcPr>
          <w:p w14:paraId="37B8047E" w14:textId="77777777" w:rsidR="00972C6F" w:rsidRDefault="006B18E7">
            <w:pPr>
              <w:jc w:val="center"/>
            </w:pPr>
            <w:r>
              <w:rPr>
                <w:b/>
                <w:bCs/>
                <w:color w:val="2E5FA3"/>
                <w:sz w:val="18"/>
                <w:szCs w:val="18"/>
              </w:rPr>
              <w:t>11</w:t>
            </w:r>
          </w:p>
        </w:tc>
        <w:tc>
          <w:tcPr>
            <w:tcW w:w="8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9115C4" w14:textId="77777777" w:rsidR="00972C6F" w:rsidRDefault="006B18E7">
            <w:r>
              <w:rPr>
                <w:sz w:val="18"/>
                <w:szCs w:val="18"/>
              </w:rPr>
              <w:t>Broadbent JM, Thomson WM, Boyens JV, Poulton R. The Dunedin Multidisciplinary Health and Development Study: Oral health findings and their implications. N Z Dent J. 2020;116(1):20-28. PMC7100605</w:t>
            </w:r>
          </w:p>
        </w:tc>
      </w:tr>
      <w:tr w:rsidR="00972C6F" w14:paraId="05621A93" w14:textId="77777777">
        <w:tc>
          <w:tcPr>
            <w:tcW w:w="600" w:type="dxa"/>
            <w:tcBorders>
              <w:top w:val="single" w:sz="1" w:space="0" w:color="CCCCCC"/>
              <w:left w:val="single" w:sz="1" w:space="0" w:color="CCCCCC"/>
              <w:bottom w:val="single" w:sz="1" w:space="0" w:color="CCCCCC"/>
              <w:right w:val="single" w:sz="1" w:space="0" w:color="CCCCCC"/>
            </w:tcBorders>
            <w:shd w:val="clear" w:color="auto" w:fill="F0F4FA"/>
            <w:tcMar>
              <w:top w:w="60" w:type="dxa"/>
              <w:left w:w="80" w:type="dxa"/>
              <w:bottom w:w="60" w:type="dxa"/>
              <w:right w:w="80" w:type="dxa"/>
            </w:tcMar>
          </w:tcPr>
          <w:p w14:paraId="233823DE" w14:textId="77777777" w:rsidR="00972C6F" w:rsidRDefault="006B18E7">
            <w:pPr>
              <w:jc w:val="center"/>
            </w:pPr>
            <w:r>
              <w:rPr>
                <w:b/>
                <w:bCs/>
                <w:color w:val="2E5FA3"/>
                <w:sz w:val="18"/>
                <w:szCs w:val="18"/>
              </w:rPr>
              <w:t>12</w:t>
            </w:r>
          </w:p>
        </w:tc>
        <w:tc>
          <w:tcPr>
            <w:tcW w:w="8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C4BBB6" w14:textId="77777777" w:rsidR="00972C6F" w:rsidRDefault="006B18E7">
            <w:proofErr w:type="spellStart"/>
            <w:r>
              <w:rPr>
                <w:sz w:val="18"/>
                <w:szCs w:val="18"/>
              </w:rPr>
              <w:t>Langenberger</w:t>
            </w:r>
            <w:proofErr w:type="spellEnd"/>
            <w:r>
              <w:rPr>
                <w:sz w:val="18"/>
                <w:szCs w:val="18"/>
              </w:rPr>
              <w:t xml:space="preserve"> B, Schulte T, Groene O. The application of machine learning to predict high-cost patients. PLOS ONE. 2023;18(1</w:t>
            </w:r>
            <w:proofErr w:type="gramStart"/>
            <w:r>
              <w:rPr>
                <w:sz w:val="18"/>
                <w:szCs w:val="18"/>
              </w:rPr>
              <w:t>):e</w:t>
            </w:r>
            <w:proofErr w:type="gramEnd"/>
            <w:r>
              <w:rPr>
                <w:sz w:val="18"/>
                <w:szCs w:val="18"/>
              </w:rPr>
              <w:t xml:space="preserve">0279540. </w:t>
            </w:r>
            <w:proofErr w:type="gramStart"/>
            <w:r>
              <w:rPr>
                <w:sz w:val="18"/>
                <w:szCs w:val="18"/>
              </w:rPr>
              <w:t>doi:10.1371/journal.pone</w:t>
            </w:r>
            <w:proofErr w:type="gramEnd"/>
            <w:r>
              <w:rPr>
                <w:sz w:val="18"/>
                <w:szCs w:val="18"/>
              </w:rPr>
              <w:t>.0279540</w:t>
            </w:r>
          </w:p>
        </w:tc>
      </w:tr>
    </w:tbl>
    <w:p w14:paraId="1FA22AA2" w14:textId="77777777" w:rsidR="00972C6F" w:rsidRDefault="00972C6F">
      <w:pPr>
        <w:spacing w:before="240"/>
      </w:pPr>
    </w:p>
    <w:sectPr w:rsidR="00972C6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FA550" w14:textId="77777777" w:rsidR="00C809E8" w:rsidRDefault="00C809E8">
      <w:r>
        <w:separator/>
      </w:r>
    </w:p>
  </w:endnote>
  <w:endnote w:type="continuationSeparator" w:id="0">
    <w:p w14:paraId="75CB7F8F" w14:textId="77777777" w:rsidR="00C809E8" w:rsidRDefault="00C809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DBB61" w14:textId="77777777" w:rsidR="00972C6F" w:rsidRDefault="006B18E7">
    <w:pPr>
      <w:pBdr>
        <w:top w:val="single" w:sz="4" w:space="4" w:color="CCCCCC"/>
      </w:pBdr>
      <w:tabs>
        <w:tab w:val="right" w:pos="9360"/>
      </w:tabs>
    </w:pPr>
    <w:proofErr w:type="gramStart"/>
    <w:r>
      <w:rPr>
        <w:color w:val="888888"/>
        <w:sz w:val="18"/>
        <w:szCs w:val="18"/>
      </w:rPr>
      <w:t>Confidential  |</w:t>
    </w:r>
    <w:proofErr w:type="gramEnd"/>
    <w:r>
      <w:rPr>
        <w:color w:val="888888"/>
        <w:sz w:val="18"/>
        <w:szCs w:val="18"/>
      </w:rPr>
      <w:t xml:space="preserve">  Draft for Review</w:t>
    </w:r>
    <w:r>
      <w:rPr>
        <w:color w:val="888888"/>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1CE88" w14:textId="77777777" w:rsidR="00C809E8" w:rsidRDefault="00C809E8">
      <w:r>
        <w:separator/>
      </w:r>
    </w:p>
  </w:footnote>
  <w:footnote w:type="continuationSeparator" w:id="0">
    <w:p w14:paraId="77C2F10D" w14:textId="77777777" w:rsidR="00C809E8" w:rsidRDefault="00C809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4D7F0" w14:textId="77777777" w:rsidR="00972C6F" w:rsidRDefault="006B18E7">
    <w:pPr>
      <w:pBdr>
        <w:bottom w:val="single" w:sz="4" w:space="4" w:color="2E5FA3"/>
      </w:pBdr>
    </w:pPr>
    <w:r>
      <w:rPr>
        <w:color w:val="2E5FA3"/>
        <w:sz w:val="18"/>
        <w:szCs w:val="18"/>
      </w:rPr>
      <w:t xml:space="preserve">AI-Derived Transition Probabilities for Periodontal Disease Markov </w:t>
    </w:r>
    <w:proofErr w:type="gramStart"/>
    <w:r>
      <w:rPr>
        <w:color w:val="2E5FA3"/>
        <w:sz w:val="18"/>
        <w:szCs w:val="18"/>
      </w:rPr>
      <w:t>Models  |</w:t>
    </w:r>
    <w:proofErr w:type="gramEnd"/>
    <w:r>
      <w:rPr>
        <w:color w:val="2E5FA3"/>
        <w:sz w:val="18"/>
        <w:szCs w:val="18"/>
      </w:rPr>
      <w:t xml:space="preserve">  Study Protocol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E1052"/>
    <w:multiLevelType w:val="hybridMultilevel"/>
    <w:tmpl w:val="B2FCE6D2"/>
    <w:lvl w:ilvl="0" w:tplc="A3020C0A">
      <w:start w:val="1"/>
      <w:numFmt w:val="bullet"/>
      <w:lvlText w:val="•"/>
      <w:lvlJc w:val="left"/>
      <w:pPr>
        <w:ind w:left="720" w:hanging="360"/>
      </w:pPr>
    </w:lvl>
    <w:lvl w:ilvl="1" w:tplc="504614A4">
      <w:start w:val="1"/>
      <w:numFmt w:val="bullet"/>
      <w:lvlText w:val="◦"/>
      <w:lvlJc w:val="left"/>
      <w:pPr>
        <w:ind w:left="1080" w:hanging="360"/>
      </w:pPr>
    </w:lvl>
    <w:lvl w:ilvl="2" w:tplc="26481CF8">
      <w:numFmt w:val="decimal"/>
      <w:lvlText w:val=""/>
      <w:lvlJc w:val="left"/>
    </w:lvl>
    <w:lvl w:ilvl="3" w:tplc="B6FEC40E">
      <w:numFmt w:val="decimal"/>
      <w:lvlText w:val=""/>
      <w:lvlJc w:val="left"/>
    </w:lvl>
    <w:lvl w:ilvl="4" w:tplc="D646CFD2">
      <w:numFmt w:val="decimal"/>
      <w:lvlText w:val=""/>
      <w:lvlJc w:val="left"/>
    </w:lvl>
    <w:lvl w:ilvl="5" w:tplc="26F02280">
      <w:numFmt w:val="decimal"/>
      <w:lvlText w:val=""/>
      <w:lvlJc w:val="left"/>
    </w:lvl>
    <w:lvl w:ilvl="6" w:tplc="05366224">
      <w:numFmt w:val="decimal"/>
      <w:lvlText w:val=""/>
      <w:lvlJc w:val="left"/>
    </w:lvl>
    <w:lvl w:ilvl="7" w:tplc="98F0D100">
      <w:numFmt w:val="decimal"/>
      <w:lvlText w:val=""/>
      <w:lvlJc w:val="left"/>
    </w:lvl>
    <w:lvl w:ilvl="8" w:tplc="99A8636A">
      <w:numFmt w:val="decimal"/>
      <w:lvlText w:val=""/>
      <w:lvlJc w:val="left"/>
    </w:lvl>
  </w:abstractNum>
  <w:abstractNum w:abstractNumId="1" w15:restartNumberingAfterBreak="0">
    <w:nsid w:val="5EE40C83"/>
    <w:multiLevelType w:val="hybridMultilevel"/>
    <w:tmpl w:val="FE300930"/>
    <w:lvl w:ilvl="0" w:tplc="C57A8484">
      <w:start w:val="1"/>
      <w:numFmt w:val="bullet"/>
      <w:lvlText w:val="●"/>
      <w:lvlJc w:val="left"/>
      <w:pPr>
        <w:ind w:left="720" w:hanging="360"/>
      </w:pPr>
    </w:lvl>
    <w:lvl w:ilvl="1" w:tplc="20363908">
      <w:start w:val="1"/>
      <w:numFmt w:val="bullet"/>
      <w:lvlText w:val="○"/>
      <w:lvlJc w:val="left"/>
      <w:pPr>
        <w:ind w:left="1440" w:hanging="360"/>
      </w:pPr>
    </w:lvl>
    <w:lvl w:ilvl="2" w:tplc="4378B2E8">
      <w:start w:val="1"/>
      <w:numFmt w:val="bullet"/>
      <w:lvlText w:val="■"/>
      <w:lvlJc w:val="left"/>
      <w:pPr>
        <w:ind w:left="2160" w:hanging="360"/>
      </w:pPr>
    </w:lvl>
    <w:lvl w:ilvl="3" w:tplc="F24CF198">
      <w:start w:val="1"/>
      <w:numFmt w:val="bullet"/>
      <w:lvlText w:val="●"/>
      <w:lvlJc w:val="left"/>
      <w:pPr>
        <w:ind w:left="2880" w:hanging="360"/>
      </w:pPr>
    </w:lvl>
    <w:lvl w:ilvl="4" w:tplc="DA12930E">
      <w:start w:val="1"/>
      <w:numFmt w:val="bullet"/>
      <w:lvlText w:val="○"/>
      <w:lvlJc w:val="left"/>
      <w:pPr>
        <w:ind w:left="3600" w:hanging="360"/>
      </w:pPr>
    </w:lvl>
    <w:lvl w:ilvl="5" w:tplc="FE9C6094">
      <w:start w:val="1"/>
      <w:numFmt w:val="bullet"/>
      <w:lvlText w:val="■"/>
      <w:lvlJc w:val="left"/>
      <w:pPr>
        <w:ind w:left="4320" w:hanging="360"/>
      </w:pPr>
    </w:lvl>
    <w:lvl w:ilvl="6" w:tplc="775C78E6">
      <w:start w:val="1"/>
      <w:numFmt w:val="bullet"/>
      <w:lvlText w:val="●"/>
      <w:lvlJc w:val="left"/>
      <w:pPr>
        <w:ind w:left="5040" w:hanging="360"/>
      </w:pPr>
    </w:lvl>
    <w:lvl w:ilvl="7" w:tplc="7966D24C">
      <w:start w:val="1"/>
      <w:numFmt w:val="bullet"/>
      <w:lvlText w:val="●"/>
      <w:lvlJc w:val="left"/>
      <w:pPr>
        <w:ind w:left="5760" w:hanging="360"/>
      </w:pPr>
    </w:lvl>
    <w:lvl w:ilvl="8" w:tplc="551A31C0">
      <w:start w:val="1"/>
      <w:numFmt w:val="bullet"/>
      <w:lvlText w:val="●"/>
      <w:lvlJc w:val="left"/>
      <w:pPr>
        <w:ind w:left="6480" w:hanging="360"/>
      </w:pPr>
    </w:lvl>
  </w:abstractNum>
  <w:num w:numId="1" w16cid:durableId="868907032">
    <w:abstractNumId w:val="1"/>
    <w:lvlOverride w:ilvl="0">
      <w:startOverride w:val="1"/>
    </w:lvlOverride>
  </w:num>
  <w:num w:numId="2" w16cid:durableId="14081097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C6F"/>
    <w:rsid w:val="000B16F1"/>
    <w:rsid w:val="001F5535"/>
    <w:rsid w:val="002E34D3"/>
    <w:rsid w:val="005C31B4"/>
    <w:rsid w:val="005D33B9"/>
    <w:rsid w:val="0061381F"/>
    <w:rsid w:val="006B18E7"/>
    <w:rsid w:val="00972C6F"/>
    <w:rsid w:val="00AB3425"/>
    <w:rsid w:val="00B53CC6"/>
    <w:rsid w:val="00B85A10"/>
    <w:rsid w:val="00C809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D9188"/>
  <w15:docId w15:val="{F0D6C989-7A99-4B4F-93A2-686CCF07F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3605</Words>
  <Characters>23916</Characters>
  <Application>Microsoft Office Word</Application>
  <DocSecurity>0</DocSecurity>
  <Lines>368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Reza Rassool</cp:lastModifiedBy>
  <cp:revision>5</cp:revision>
  <dcterms:created xsi:type="dcterms:W3CDTF">2026-02-18T12:00:00Z</dcterms:created>
  <dcterms:modified xsi:type="dcterms:W3CDTF">2026-02-25T17:18:00Z</dcterms:modified>
</cp:coreProperties>
</file>