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19498" w14:textId="77777777" w:rsidR="00BA3AD4" w:rsidRDefault="00BA3AD4" w:rsidP="00BA3AD4">
      <w:pPr>
        <w:rPr>
          <w:b/>
          <w:bCs/>
          <w:sz w:val="28"/>
          <w:szCs w:val="28"/>
        </w:rPr>
      </w:pPr>
      <w:r w:rsidRPr="00AE6F84">
        <w:rPr>
          <w:b/>
          <w:bCs/>
          <w:sz w:val="28"/>
          <w:szCs w:val="28"/>
        </w:rPr>
        <w:t>The impact of periodontal disease prevalence scenarios on the costs and prevalence of dementia in England: a modelling study</w:t>
      </w:r>
    </w:p>
    <w:p w14:paraId="0A3B76BE" w14:textId="77777777" w:rsidR="00BA3AD4" w:rsidRPr="006523C5" w:rsidRDefault="00BA3AD4" w:rsidP="00BA3AD4">
      <w:pPr>
        <w:rPr>
          <w:sz w:val="28"/>
          <w:szCs w:val="28"/>
        </w:rPr>
      </w:pPr>
      <w:r w:rsidRPr="006523C5">
        <w:rPr>
          <w:sz w:val="28"/>
          <w:szCs w:val="28"/>
        </w:rPr>
        <w:t>Edward Coote, Dr Nitesh Patel, Dr Rajesh Vijayanarayanan</w:t>
      </w:r>
    </w:p>
    <w:p w14:paraId="53E3164D" w14:textId="38EE5D12" w:rsidR="00734F25" w:rsidRDefault="00734F25" w:rsidP="006B5D80">
      <w:pPr>
        <w:rPr>
          <w:sz w:val="28"/>
          <w:szCs w:val="28"/>
        </w:rPr>
      </w:pPr>
    </w:p>
    <w:p w14:paraId="47569004" w14:textId="7FAF0D98" w:rsidR="00BA3AD4" w:rsidRDefault="00BA3AD4" w:rsidP="006B5D80">
      <w:pPr>
        <w:rPr>
          <w:b/>
          <w:bCs/>
          <w:sz w:val="28"/>
          <w:szCs w:val="28"/>
        </w:rPr>
      </w:pPr>
      <w:r>
        <w:rPr>
          <w:b/>
          <w:bCs/>
          <w:sz w:val="28"/>
          <w:szCs w:val="28"/>
        </w:rPr>
        <w:t>Author information</w:t>
      </w:r>
    </w:p>
    <w:p w14:paraId="766E63E1" w14:textId="292B378E" w:rsidR="00BA3AD4" w:rsidRDefault="00BA3AD4" w:rsidP="006B5D80">
      <w:pPr>
        <w:rPr>
          <w:b/>
          <w:bCs/>
          <w:sz w:val="28"/>
          <w:szCs w:val="28"/>
        </w:rPr>
      </w:pPr>
      <w:r>
        <w:rPr>
          <w:b/>
          <w:bCs/>
          <w:sz w:val="28"/>
          <w:szCs w:val="28"/>
        </w:rPr>
        <w:t>Keywords</w:t>
      </w:r>
    </w:p>
    <w:p w14:paraId="48E44AF0" w14:textId="6486C931" w:rsidR="00BA3AD4" w:rsidRDefault="00BA3AD4" w:rsidP="006B5D80">
      <w:pPr>
        <w:rPr>
          <w:b/>
          <w:bCs/>
          <w:sz w:val="28"/>
          <w:szCs w:val="28"/>
        </w:rPr>
      </w:pPr>
      <w:r>
        <w:rPr>
          <w:b/>
          <w:bCs/>
          <w:sz w:val="28"/>
          <w:szCs w:val="28"/>
        </w:rPr>
        <w:t>Statements &amp; Declarations</w:t>
      </w:r>
    </w:p>
    <w:p w14:paraId="58394067" w14:textId="63B12083" w:rsidR="00BA3AD4" w:rsidRDefault="00BA3AD4" w:rsidP="006B5D80">
      <w:pPr>
        <w:rPr>
          <w:b/>
          <w:bCs/>
          <w:sz w:val="28"/>
          <w:szCs w:val="28"/>
        </w:rPr>
      </w:pPr>
      <w:r>
        <w:rPr>
          <w:b/>
          <w:bCs/>
          <w:sz w:val="28"/>
          <w:szCs w:val="28"/>
        </w:rPr>
        <w:t>Funding</w:t>
      </w:r>
    </w:p>
    <w:p w14:paraId="68641CC8" w14:textId="607E1E3D" w:rsidR="00BA3AD4" w:rsidRDefault="00BA3AD4" w:rsidP="006B5D80">
      <w:pPr>
        <w:rPr>
          <w:b/>
          <w:bCs/>
          <w:sz w:val="28"/>
          <w:szCs w:val="28"/>
        </w:rPr>
      </w:pPr>
      <w:r>
        <w:rPr>
          <w:b/>
          <w:bCs/>
          <w:sz w:val="28"/>
          <w:szCs w:val="28"/>
        </w:rPr>
        <w:t>Competing Interests</w:t>
      </w:r>
    </w:p>
    <w:p w14:paraId="7BC36DCD" w14:textId="17A00740" w:rsidR="00BA3AD4" w:rsidRDefault="00BA3AD4" w:rsidP="006B5D80">
      <w:pPr>
        <w:rPr>
          <w:b/>
          <w:bCs/>
          <w:sz w:val="28"/>
          <w:szCs w:val="28"/>
        </w:rPr>
      </w:pPr>
      <w:r>
        <w:rPr>
          <w:b/>
          <w:bCs/>
          <w:sz w:val="28"/>
          <w:szCs w:val="28"/>
        </w:rPr>
        <w:t>Author Contributions</w:t>
      </w:r>
    </w:p>
    <w:p w14:paraId="2EB193DA" w14:textId="4D7A0A4C" w:rsidR="00BA3AD4" w:rsidRDefault="00BA3AD4" w:rsidP="006B5D80">
      <w:pPr>
        <w:rPr>
          <w:b/>
          <w:bCs/>
          <w:sz w:val="28"/>
          <w:szCs w:val="28"/>
        </w:rPr>
      </w:pPr>
      <w:r>
        <w:rPr>
          <w:b/>
          <w:bCs/>
          <w:sz w:val="28"/>
          <w:szCs w:val="28"/>
        </w:rPr>
        <w:t xml:space="preserve">Ethics Approval </w:t>
      </w:r>
    </w:p>
    <w:p w14:paraId="1B801614" w14:textId="4D1E8316" w:rsidR="00AA5177" w:rsidRPr="00AA5177" w:rsidRDefault="00AA5177" w:rsidP="006B5D80">
      <w:pPr>
        <w:rPr>
          <w:sz w:val="28"/>
          <w:szCs w:val="28"/>
        </w:rPr>
      </w:pPr>
      <w:r>
        <w:rPr>
          <w:sz w:val="28"/>
          <w:szCs w:val="28"/>
        </w:rPr>
        <w:t>N/a</w:t>
      </w:r>
    </w:p>
    <w:p w14:paraId="6FF1B32A" w14:textId="30D0D19A" w:rsidR="00BA3AD4" w:rsidRDefault="00BA3AD4" w:rsidP="006B5D80">
      <w:pPr>
        <w:rPr>
          <w:b/>
          <w:bCs/>
          <w:sz w:val="28"/>
          <w:szCs w:val="28"/>
        </w:rPr>
      </w:pPr>
      <w:r>
        <w:rPr>
          <w:b/>
          <w:bCs/>
          <w:sz w:val="28"/>
          <w:szCs w:val="28"/>
        </w:rPr>
        <w:t>Consent to Participate</w:t>
      </w:r>
    </w:p>
    <w:p w14:paraId="52D19714" w14:textId="38E6D391" w:rsidR="00AA5177" w:rsidRPr="00AA5177" w:rsidRDefault="00AA5177" w:rsidP="006B5D80">
      <w:pPr>
        <w:rPr>
          <w:sz w:val="28"/>
          <w:szCs w:val="28"/>
        </w:rPr>
      </w:pPr>
      <w:r>
        <w:rPr>
          <w:sz w:val="28"/>
          <w:szCs w:val="28"/>
        </w:rPr>
        <w:t>N/a</w:t>
      </w:r>
    </w:p>
    <w:p w14:paraId="364BA95C" w14:textId="5158B2D6" w:rsidR="00BA3AD4" w:rsidRDefault="00BA3AD4" w:rsidP="006B5D80">
      <w:pPr>
        <w:rPr>
          <w:b/>
          <w:bCs/>
          <w:sz w:val="28"/>
          <w:szCs w:val="28"/>
        </w:rPr>
      </w:pPr>
      <w:r>
        <w:rPr>
          <w:b/>
          <w:bCs/>
          <w:sz w:val="28"/>
          <w:szCs w:val="28"/>
        </w:rPr>
        <w:t xml:space="preserve">Consent to Publish </w:t>
      </w:r>
    </w:p>
    <w:p w14:paraId="0B56900D" w14:textId="6B024688" w:rsidR="00AA5177" w:rsidRPr="00AA5177" w:rsidRDefault="00AA5177" w:rsidP="006B5D80">
      <w:pPr>
        <w:rPr>
          <w:sz w:val="28"/>
          <w:szCs w:val="28"/>
        </w:rPr>
      </w:pPr>
      <w:r>
        <w:rPr>
          <w:sz w:val="28"/>
          <w:szCs w:val="28"/>
        </w:rPr>
        <w:t>N/a</w:t>
      </w:r>
    </w:p>
    <w:p w14:paraId="007DB7A7" w14:textId="77777777" w:rsidR="00734F25" w:rsidRDefault="00734F25" w:rsidP="006B5D80">
      <w:pPr>
        <w:rPr>
          <w:b/>
          <w:bCs/>
          <w:sz w:val="28"/>
          <w:szCs w:val="28"/>
        </w:rPr>
      </w:pPr>
    </w:p>
    <w:p w14:paraId="4C46E8B8" w14:textId="77777777" w:rsidR="00734F25" w:rsidRDefault="00734F25" w:rsidP="006B5D80">
      <w:pPr>
        <w:rPr>
          <w:b/>
          <w:bCs/>
          <w:sz w:val="28"/>
          <w:szCs w:val="28"/>
        </w:rPr>
      </w:pPr>
    </w:p>
    <w:p w14:paraId="4E6228C7" w14:textId="77777777" w:rsidR="00734F25" w:rsidRDefault="00734F25" w:rsidP="006B5D80">
      <w:pPr>
        <w:rPr>
          <w:b/>
          <w:bCs/>
          <w:sz w:val="28"/>
          <w:szCs w:val="28"/>
        </w:rPr>
      </w:pPr>
    </w:p>
    <w:p w14:paraId="2D402528" w14:textId="77777777" w:rsidR="00734F25" w:rsidRDefault="00734F25" w:rsidP="006B5D80">
      <w:pPr>
        <w:rPr>
          <w:b/>
          <w:bCs/>
          <w:sz w:val="28"/>
          <w:szCs w:val="28"/>
        </w:rPr>
      </w:pPr>
    </w:p>
    <w:p w14:paraId="3AF0D057" w14:textId="77777777" w:rsidR="00734F25" w:rsidRDefault="00734F25" w:rsidP="006B5D80">
      <w:pPr>
        <w:rPr>
          <w:b/>
          <w:bCs/>
          <w:sz w:val="28"/>
          <w:szCs w:val="28"/>
        </w:rPr>
      </w:pPr>
    </w:p>
    <w:p w14:paraId="09B2C6EC" w14:textId="77777777" w:rsidR="00734F25" w:rsidRDefault="00734F25" w:rsidP="006B5D80">
      <w:pPr>
        <w:rPr>
          <w:b/>
          <w:bCs/>
          <w:sz w:val="28"/>
          <w:szCs w:val="28"/>
        </w:rPr>
      </w:pPr>
    </w:p>
    <w:p w14:paraId="6F6365E5" w14:textId="77777777" w:rsidR="00734F25" w:rsidRDefault="00734F25" w:rsidP="006B5D80">
      <w:pPr>
        <w:rPr>
          <w:b/>
          <w:bCs/>
          <w:sz w:val="28"/>
          <w:szCs w:val="28"/>
        </w:rPr>
      </w:pPr>
    </w:p>
    <w:p w14:paraId="2EA95F95" w14:textId="77777777" w:rsidR="00734F25" w:rsidRDefault="00734F25" w:rsidP="006B5D80">
      <w:pPr>
        <w:rPr>
          <w:b/>
          <w:bCs/>
          <w:sz w:val="28"/>
          <w:szCs w:val="28"/>
        </w:rPr>
      </w:pPr>
    </w:p>
    <w:p w14:paraId="09ABC0ED" w14:textId="77777777" w:rsidR="00997D55" w:rsidRDefault="00997D55"/>
    <w:p w14:paraId="0B492D67" w14:textId="2E8D85FD" w:rsidR="00426FE7" w:rsidRPr="0045700D" w:rsidRDefault="00426FE7">
      <w:pPr>
        <w:rPr>
          <w:b/>
          <w:bCs/>
          <w:sz w:val="28"/>
          <w:szCs w:val="28"/>
        </w:rPr>
      </w:pPr>
      <w:r w:rsidRPr="0045700D">
        <w:rPr>
          <w:b/>
          <w:bCs/>
          <w:sz w:val="28"/>
          <w:szCs w:val="28"/>
        </w:rPr>
        <w:lastRenderedPageBreak/>
        <w:t>Abstract</w:t>
      </w:r>
    </w:p>
    <w:p w14:paraId="441AF220" w14:textId="167DE8FC" w:rsidR="00426FE7" w:rsidRDefault="00F009A1">
      <w:pPr>
        <w:rPr>
          <w:b/>
          <w:bCs/>
        </w:rPr>
      </w:pPr>
      <w:r>
        <w:rPr>
          <w:b/>
          <w:bCs/>
        </w:rPr>
        <w:t>Background</w:t>
      </w:r>
    </w:p>
    <w:p w14:paraId="2E5B5148" w14:textId="197E066F" w:rsidR="00AA1AE1" w:rsidRPr="00AA1AE1" w:rsidRDefault="00AA1AE1">
      <w:r>
        <w:t xml:space="preserve">Periodontal disease (PD) is a </w:t>
      </w:r>
      <w:r w:rsidR="00814FF2">
        <w:t xml:space="preserve">prevalent modifiable dementia risk factor that is becoming increasingly established with increased dementia incidence. </w:t>
      </w:r>
      <w:r w:rsidR="004D4DAB">
        <w:t xml:space="preserve">At least 50% of over-65 year olds in England are </w:t>
      </w:r>
      <w:r w:rsidR="0073700E">
        <w:t>affected by irreversible PD</w:t>
      </w:r>
      <w:r w:rsidR="00EC7200">
        <w:t>, an</w:t>
      </w:r>
      <w:r w:rsidR="008A69AA">
        <w:t>d dementia-related costs are projected to rise substantially</w:t>
      </w:r>
      <w:r w:rsidR="00581810">
        <w:t xml:space="preserve">. Understanding the potential impact of PD prevalence changes on future dementia burden is key for </w:t>
      </w:r>
      <w:r w:rsidR="00E342CB">
        <w:t xml:space="preserve">healthcare planning and intervention risk factor prevention. </w:t>
      </w:r>
    </w:p>
    <w:p w14:paraId="23741CB2" w14:textId="4EEDF2D1" w:rsidR="00426FE7" w:rsidRDefault="00426FE7">
      <w:pPr>
        <w:rPr>
          <w:b/>
          <w:bCs/>
        </w:rPr>
      </w:pPr>
      <w:r>
        <w:rPr>
          <w:b/>
          <w:bCs/>
        </w:rPr>
        <w:t>Methods</w:t>
      </w:r>
    </w:p>
    <w:p w14:paraId="5C4D0D8B" w14:textId="49CA4AB5" w:rsidR="00E342CB" w:rsidRPr="00E342CB" w:rsidRDefault="00E342CB">
      <w:r>
        <w:t xml:space="preserve">We developed </w:t>
      </w:r>
      <w:r w:rsidR="00D1335A">
        <w:t xml:space="preserve">an individual-level microsimulation </w:t>
      </w:r>
      <w:r w:rsidR="00766B4B">
        <w:t xml:space="preserve">model simulating the </w:t>
      </w:r>
      <w:r w:rsidR="00F32D91">
        <w:t xml:space="preserve">England population aged 65 and older from 2024 to 2040 (yearly timesteps). </w:t>
      </w:r>
      <w:r w:rsidR="00BD201A">
        <w:t>We incorporated increasing dementia severity stages</w:t>
      </w:r>
      <w:r w:rsidR="00376F40">
        <w:t xml:space="preserve">, care setting transitions and six modifiable risk factors alongside APOE </w:t>
      </w:r>
      <w:r w:rsidR="00376F40" w:rsidRPr="00376F40">
        <w:t>ε4</w:t>
      </w:r>
      <w:r w:rsidR="00376F40">
        <w:t xml:space="preserve"> carrier status. </w:t>
      </w:r>
      <w:r w:rsidR="008B69AF">
        <w:t xml:space="preserve">Age-related dementia onset was driven by a parametric </w:t>
      </w:r>
      <w:r w:rsidR="00C00E26">
        <w:t xml:space="preserve">age-scaled hazard. </w:t>
      </w:r>
      <w:r w:rsidR="00043F7C">
        <w:t xml:space="preserve">Individual risk factor hazard ratios </w:t>
      </w:r>
      <w:r w:rsidR="00F06730">
        <w:t xml:space="preserve">(HR) </w:t>
      </w:r>
      <w:r w:rsidR="00043F7C">
        <w:t xml:space="preserve">were applied multiplicatively. </w:t>
      </w:r>
      <w:r w:rsidR="00043F7C" w:rsidRPr="00043F7C">
        <w:t>We estimated dementia incidence, prevalence, formal and informal care costs, and quality-adjusted life years (QALYs) under three PD prevalence scenarios (25%, 50% baseline, 75%</w:t>
      </w:r>
      <w:r w:rsidR="00043F7C">
        <w:t>). Our sensitivity analysis included probabilistic sensitivity analysis (PSA) and deterministic one-way sensitivity analysis</w:t>
      </w:r>
      <w:r w:rsidR="00F06730">
        <w:t xml:space="preserve"> on the PD-dementia onset HR. </w:t>
      </w:r>
    </w:p>
    <w:p w14:paraId="3AEC93B0" w14:textId="1FAE4386" w:rsidR="00426FE7" w:rsidRDefault="00426FE7">
      <w:pPr>
        <w:rPr>
          <w:b/>
          <w:bCs/>
        </w:rPr>
      </w:pPr>
      <w:r>
        <w:rPr>
          <w:b/>
          <w:bCs/>
        </w:rPr>
        <w:t>Results</w:t>
      </w:r>
    </w:p>
    <w:p w14:paraId="44901A6D" w14:textId="57149340" w:rsidR="00FC21E6" w:rsidRPr="00A0576B" w:rsidRDefault="0053791F">
      <w:r w:rsidRPr="0053791F">
        <w:t>At 50% PD prevalence, cumulative dementia incidence totalled 2.80 million cases over 2024–2040, with prevalence rising from 7.95% to 10.14%. Reducing PD prevalence to 25% prevented approximately 115,000 incident cases (4.1% reduction) and generated cumulative cost savings of £19.7 billion (£10.9bn formal; £8.8bn informal). Each percentage point reduction in PD prevalence was associated with approximately 678 fewer annual dementia onsets and £46 million in annual savings. Population QALYs varied by less than 0.2% across scenarios. Probabilistic sensitivity analysis confirmed robustness across all outcomes (coefficient of variation 5.2%–</w:t>
      </w:r>
      <w:r w:rsidR="00750343">
        <w:t>10</w:t>
      </w:r>
      <w:r w:rsidRPr="0053791F">
        <w:t>.4%).</w:t>
      </w:r>
    </w:p>
    <w:p w14:paraId="45596EBB" w14:textId="06E98025" w:rsidR="00A003F6" w:rsidRDefault="00A003F6">
      <w:pPr>
        <w:rPr>
          <w:b/>
          <w:bCs/>
        </w:rPr>
      </w:pPr>
      <w:r>
        <w:rPr>
          <w:b/>
          <w:bCs/>
        </w:rPr>
        <w:t>Conclusions</w:t>
      </w:r>
    </w:p>
    <w:p w14:paraId="63E7306B" w14:textId="059550AC" w:rsidR="0053791F" w:rsidRPr="00A003F6" w:rsidRDefault="00117A7F">
      <w:r w:rsidRPr="00117A7F">
        <w:t xml:space="preserve">Reductions in PD prevalence, if the observed association with dementia is causal, could yield substantial reductions in dementia incidence and associated costs in England. PD functions as a weak but highly prevalent risk factor, where population-level benefits derive from the large exposed population rather than strong individual risk. </w:t>
      </w:r>
    </w:p>
    <w:p w14:paraId="159143D8" w14:textId="77777777" w:rsidR="00426FE7" w:rsidRPr="00AE6F84" w:rsidRDefault="00426FE7"/>
    <w:p w14:paraId="662AC610" w14:textId="3D21DE9D" w:rsidR="006B5D80" w:rsidRPr="00AE6F84" w:rsidRDefault="006B5D80">
      <w:pPr>
        <w:rPr>
          <w:b/>
          <w:bCs/>
        </w:rPr>
      </w:pPr>
      <w:r w:rsidRPr="00AE6F84">
        <w:rPr>
          <w:b/>
          <w:bCs/>
        </w:rPr>
        <w:t>Introduction</w:t>
      </w:r>
    </w:p>
    <w:p w14:paraId="46D5493B" w14:textId="387D03C4" w:rsidR="00581A65" w:rsidRPr="00AE6F84" w:rsidRDefault="00581A65" w:rsidP="00581A65">
      <w:r w:rsidRPr="00AE6F84">
        <w:lastRenderedPageBreak/>
        <w:t xml:space="preserve">The burden of periodontal diseases (PD) in England is substantial. NHS Dental estimates that at least 50% of the UK have some level of </w:t>
      </w:r>
      <w:r w:rsidR="00677A63">
        <w:t>irreversible</w:t>
      </w:r>
      <w:r w:rsidR="00743E15">
        <w:t xml:space="preserve"> (≥stage 3)</w:t>
      </w:r>
      <w:r w:rsidRPr="00AE6F84">
        <w:t xml:space="preserve"> periodontal disease (PD), although this is likely to be an underestimate [1]. Globally, there was an estimated 50% increase in oral disease cases between 1990 and 2019, which was higher than the 45% population growth over the period [2]. This trend is expected to increase in high-income countries as the ageing population results in individuals living longer with chronic diseases [3]. Estimations using multi-state population models for periodontal pocketing in the UK project an 8.7% increase from 2020 to 2050, with severe pocketing increasing by 56.7% [4]. </w:t>
      </w:r>
    </w:p>
    <w:p w14:paraId="2C021384" w14:textId="664E9B0D" w:rsidR="00581A65" w:rsidRPr="00AE6F84" w:rsidRDefault="00581A65" w:rsidP="00581A65">
      <w:r w:rsidRPr="00AE6F84">
        <w:t xml:space="preserve">There is substantial evidence that PD is a risk factor for dementia [5,6]. Periodontal infection leads to systemic inflammation, allowing high inflammatory immune responses to cross the blood-brain barrier which activates the microglial cells in the cerebral cortex, which may contribute to the pathogenesis of dementia [7,8]. Dementia patients have shown higher </w:t>
      </w:r>
      <w:r w:rsidRPr="00AE6F84">
        <w:rPr>
          <w:i/>
          <w:iCs/>
        </w:rPr>
        <w:t>fusobacterium</w:t>
      </w:r>
      <w:r w:rsidRPr="00AE6F84">
        <w:t xml:space="preserve"> loads, as well as </w:t>
      </w:r>
      <w:r w:rsidRPr="00AE6F84">
        <w:rPr>
          <w:i/>
          <w:iCs/>
        </w:rPr>
        <w:t xml:space="preserve">Campylobacter rectus </w:t>
      </w:r>
      <w:r w:rsidRPr="00AE6F84">
        <w:t xml:space="preserve">and </w:t>
      </w:r>
      <w:r w:rsidRPr="00AE6F84">
        <w:rPr>
          <w:i/>
          <w:iCs/>
        </w:rPr>
        <w:t>Porphyromonas gingivalis</w:t>
      </w:r>
      <w:r w:rsidRPr="00AE6F84">
        <w:t xml:space="preserve">, both species of bacteria that are biomarkers for severe PD [9]. One review found that PD was associated with a 22% higher risk of incident dementia during a mean follow up of 11 years, with another using </w:t>
      </w:r>
      <w:r w:rsidR="00900E8A">
        <w:t>population</w:t>
      </w:r>
      <w:r w:rsidRPr="00AE6F84">
        <w:t xml:space="preserve"> studies to suggest a relative risk (RR) of 1.18 (1.06-1.31) for incident dementia in relation to PD [6,10]. There is bidirectional causality, as an individual’s ability to maintain their oral health deteriorates with increased dementia symptoms [11]. However, trial emulation studies testing periodontal treatments have shown their ability to reduce dementia-related brain atrophy in the treatment arms (-0.41; 95% CI; -0.70 to -0.12; </w:t>
      </w:r>
      <w:r w:rsidRPr="00AE6F84">
        <w:rPr>
          <w:i/>
          <w:iCs/>
        </w:rPr>
        <w:t>P</w:t>
      </w:r>
      <w:r w:rsidRPr="00AE6F84">
        <w:t xml:space="preserve">= 0.0051) [12]. A retrospective </w:t>
      </w:r>
      <w:r w:rsidR="00900E8A">
        <w:t>population</w:t>
      </w:r>
      <w:r w:rsidRPr="00AE6F84">
        <w:t xml:space="preserve"> study also identified that periodontal treatment reduced the risk of dementia mortality [13]. Longitudinal </w:t>
      </w:r>
      <w:r w:rsidR="00900E8A">
        <w:t>population</w:t>
      </w:r>
      <w:r w:rsidRPr="00AE6F84">
        <w:t xml:space="preserve"> studies have revealed that PD was significantly associated with increased dementia incidence, even after adjusting for major chronic diseases [14,15,16]. These longitudinal studies were restricted to dementia-free participants at baseline, minimising reverse causality. </w:t>
      </w:r>
    </w:p>
    <w:p w14:paraId="66B38B30" w14:textId="077A23AD" w:rsidR="00581A65" w:rsidRPr="00AE6F84" w:rsidRDefault="00581A65" w:rsidP="00581A65">
      <w:r w:rsidRPr="00AE6F84">
        <w:t>Dementia costs in England are expected to rise significantly, with one estimate forecasting a 173% rise from 2019 to 2040, totalling £80.4 billion by 2040 [17]. The same projection gives 1.35 million total older people living with dementia in England in 2040. Approximately 45% of all dementia cases are attributable to preventable risk factors [18]. Modelling the effects of population-based interventions on dementia risk factors can provide estimates of potential cost-saving and disease reduction. If hypertension prevalence fell in England and Wales by 50% between 2027 and 2060, an estimated 57 fewer deaths per 100,000 population but an increase of 9 more dementia cases per 100,000 is expected [19]. This highlights the interplay between reduced risk factor prevalence and extended life expectancy, which may raise overall dementia prevalence</w:t>
      </w:r>
      <w:r w:rsidR="00B62890">
        <w:t xml:space="preserve"> despite a risk factor intervention</w:t>
      </w:r>
      <w:r w:rsidRPr="00AE6F84">
        <w:t>. A 50% reduction in the current global prevalence of PD could prevent 850,000 individuals from developing dementia [6]. Given the strong evidence linking periodontal disease to dementia and the projected rise in dementia-</w:t>
      </w:r>
      <w:r w:rsidRPr="00AE6F84">
        <w:lastRenderedPageBreak/>
        <w:t xml:space="preserve">related costs, estimating the effects of reducing periodontal disease prevalence is essential to inform prevention strategies. </w:t>
      </w:r>
    </w:p>
    <w:p w14:paraId="10EFA148" w14:textId="77777777" w:rsidR="00581A65" w:rsidRPr="00AE6F84" w:rsidRDefault="00581A65" w:rsidP="00581A65">
      <w:r w:rsidRPr="00AE6F84">
        <w:t xml:space="preserve">We use an individual-level microsimulation model to estimate the costs and benefits associated with counterfactual scenarios in severe PD prevalence on future dementia outcomes. We start with the current estimated PD prevalence of 50%, then test a prevalence of 25% and 75%. This will account for the effects of other dementia risk factors on both dementia and mortality risk. </w:t>
      </w:r>
    </w:p>
    <w:p w14:paraId="3E78D008" w14:textId="656C1944" w:rsidR="006B5D80" w:rsidRPr="00AE6F84" w:rsidRDefault="006B5D80"/>
    <w:p w14:paraId="015A03FC" w14:textId="77777777" w:rsidR="005958BD" w:rsidRPr="00AE6F84" w:rsidRDefault="005958BD" w:rsidP="005958BD">
      <w:pPr>
        <w:rPr>
          <w:b/>
          <w:bCs/>
          <w:sz w:val="28"/>
          <w:szCs w:val="28"/>
        </w:rPr>
      </w:pPr>
      <w:r w:rsidRPr="00AE6F84">
        <w:rPr>
          <w:b/>
          <w:bCs/>
          <w:sz w:val="28"/>
          <w:szCs w:val="28"/>
        </w:rPr>
        <w:t>Methods</w:t>
      </w:r>
    </w:p>
    <w:p w14:paraId="23013BA6" w14:textId="586FAAD5" w:rsidR="005958BD" w:rsidRPr="00AE6F84" w:rsidRDefault="005958BD">
      <w:pPr>
        <w:rPr>
          <w:b/>
          <w:bCs/>
        </w:rPr>
      </w:pPr>
      <w:r w:rsidRPr="00AE6F84">
        <w:rPr>
          <w:b/>
          <w:bCs/>
        </w:rPr>
        <w:t>Model overview</w:t>
      </w:r>
    </w:p>
    <w:p w14:paraId="3B5D97DC" w14:textId="0C230942" w:rsidR="0014076F" w:rsidRPr="00AE6F84" w:rsidRDefault="0014076F" w:rsidP="0014076F">
      <w:r w:rsidRPr="00AE6F84">
        <w:t xml:space="preserve">We simulated the England population (aged </w:t>
      </w:r>
      <w:r w:rsidR="005958BD" w:rsidRPr="00AE6F84">
        <w:t>65</w:t>
      </w:r>
      <w:r w:rsidRPr="00AE6F84">
        <w:t xml:space="preserve"> years and older) from a 2023 baseline, used for initialisation only, to 2040 in annual time steps, with results reported from 2024 onward. New individuals entered the model yearly through a fixed-size entrant </w:t>
      </w:r>
      <w:r w:rsidR="00900E8A">
        <w:t>population</w:t>
      </w:r>
      <w:r w:rsidRPr="00AE6F84">
        <w:t xml:space="preserve"> (n = 700,000), </w:t>
      </w:r>
      <w:r w:rsidRPr="00340F22">
        <w:rPr>
          <w:highlight w:val="yellow"/>
        </w:rPr>
        <w:t>reweighted and sized to match age- and sex-specific</w:t>
      </w:r>
      <w:r w:rsidR="000441C6">
        <w:t xml:space="preserve"> </w:t>
      </w:r>
      <w:r w:rsidR="000441C6" w:rsidRPr="000441C6">
        <w:rPr>
          <w:highlight w:val="yellow"/>
        </w:rPr>
        <w:t>(validated using that)</w:t>
      </w:r>
      <w:r w:rsidRPr="00AE6F84">
        <w:t xml:space="preserve"> population projections from the Office for National Statistics [20,21]. The baseline dementia prevalence, age distribution and severity stage mix was set using the Primary Care Dementia Data register. Dementia was defined as diagnosed all-cause dementia, referring to any type of dementia regardless of its cause [22]. We developed a stochastic time-to-event microsimulation model with a dementia stage structure consistent with previous dementia progression models, using longitudinal evidence and mortality projections to inform transition hazards [19, 23, 24, 25]. </w:t>
      </w:r>
    </w:p>
    <w:p w14:paraId="6E76BB62" w14:textId="77777777" w:rsidR="00DE3A1D" w:rsidRPr="00AE6F84" w:rsidRDefault="00DE3A1D" w:rsidP="00DE3A1D">
      <w:r w:rsidRPr="00AE6F84">
        <w:t xml:space="preserve">Dementia in our model is split in five stages; cognitively normal, mild, moderate, severe, and death. Dementia-related death was permitted only in the severe stage, while background mortality could occur from any state. Disease state changes are simulated each year. Individuals with dementia could transition between home and institution (or remain in current) care each year based on setting transition probabilities [26]. The baseline onset probability of dementia was calculated using current dementia incidence from NHS England data. We externally validated our model to observed prevalence data from 2023 to 2024, with goodness of fit assessed with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AE6F84">
        <w:rPr>
          <w:rFonts w:eastAsiaTheme="minorEastAsia"/>
        </w:rPr>
        <w:t xml:space="preserve"> and slope coefficients.</w:t>
      </w:r>
      <w:r w:rsidRPr="00AE6F84">
        <w:t xml:space="preserve"> </w:t>
      </w:r>
    </w:p>
    <w:p w14:paraId="5BFF7F68" w14:textId="77777777" w:rsidR="00DE3A1D" w:rsidRPr="00AE6F84" w:rsidRDefault="00000000" w:rsidP="00DE3A1D">
      <m:oMathPara>
        <m:oMath>
          <m:sSub>
            <m:sSubPr>
              <m:ctrlPr>
                <w:rPr>
                  <w:rFonts w:ascii="Cambria Math" w:hAnsi="Cambria Math"/>
                  <w:i/>
                </w:rPr>
              </m:ctrlPr>
            </m:sSubPr>
            <m:e>
              <m:r>
                <w:rPr>
                  <w:rFonts w:ascii="Cambria Math" w:hAnsi="Cambria Math"/>
                </w:rPr>
                <m:t>h</m:t>
              </m:r>
            </m:e>
            <m:sub>
              <m:r>
                <w:rPr>
                  <w:rFonts w:ascii="Cambria Math" w:hAnsi="Cambria Math"/>
                </w:rPr>
                <m:t>onset</m:t>
              </m:r>
            </m:sub>
          </m:sSub>
          <m:d>
            <m:dPr>
              <m:ctrlPr>
                <w:rPr>
                  <w:rFonts w:ascii="Cambria Math" w:hAnsi="Cambria Math"/>
                  <w:i/>
                </w:rPr>
              </m:ctrlPr>
            </m:dPr>
            <m:e>
              <m:r>
                <w:rPr>
                  <w:rFonts w:ascii="Cambria Math" w:hAnsi="Cambria Math"/>
                </w:rPr>
                <m:t>a,R</m:t>
              </m:r>
            </m:e>
          </m:d>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onset</m:t>
                      </m:r>
                    </m:sub>
                  </m:sSub>
                  <m:d>
                    <m:dPr>
                      <m:ctrlPr>
                        <w:rPr>
                          <w:rFonts w:ascii="Cambria Math" w:hAnsi="Cambria Math"/>
                          <w:i/>
                        </w:rPr>
                      </m:ctrlPr>
                    </m:dPr>
                    <m:e>
                      <m:r>
                        <w:rPr>
                          <w:rFonts w:ascii="Cambria Math" w:hAnsi="Cambria Math"/>
                        </w:rPr>
                        <m:t>a-re</m:t>
                      </m:r>
                      <m:sSub>
                        <m:sSubPr>
                          <m:ctrlPr>
                            <w:rPr>
                              <w:rFonts w:ascii="Cambria Math" w:hAnsi="Cambria Math"/>
                              <w:i/>
                            </w:rPr>
                          </m:ctrlPr>
                        </m:sSubPr>
                        <m:e>
                          <m:r>
                            <w:rPr>
                              <w:rFonts w:ascii="Cambria Math" w:hAnsi="Cambria Math"/>
                            </w:rPr>
                            <m:t>f</m:t>
                          </m:r>
                        </m:e>
                        <m:sub>
                          <m:r>
                            <w:rPr>
                              <w:rFonts w:ascii="Cambria Math" w:hAnsi="Cambria Math"/>
                            </w:rPr>
                            <m:t>age</m:t>
                          </m:r>
                        </m:sub>
                      </m:sSub>
                    </m:e>
                  </m:d>
                </m:e>
              </m:d>
            </m:e>
          </m:func>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k∈R</m:t>
              </m:r>
            </m:sub>
            <m:sup/>
            <m:e>
              <m:sSubSup>
                <m:sSubSupPr>
                  <m:ctrlPr>
                    <w:rPr>
                      <w:rFonts w:ascii="Cambria Math" w:hAnsi="Cambria Math"/>
                      <w:i/>
                    </w:rPr>
                  </m:ctrlPr>
                </m:sSubSupPr>
                <m:e>
                  <m:r>
                    <w:rPr>
                      <w:rFonts w:ascii="Cambria Math" w:hAnsi="Cambria Math"/>
                    </w:rPr>
                    <m:t>RR</m:t>
                  </m:r>
                </m:e>
                <m:sub>
                  <m:r>
                    <w:rPr>
                      <w:rFonts w:ascii="Cambria Math" w:hAnsi="Cambria Math"/>
                    </w:rPr>
                    <m:t>k</m:t>
                  </m:r>
                </m:sub>
                <m:sup>
                  <m:sSub>
                    <m:sSubPr>
                      <m:ctrlPr>
                        <w:rPr>
                          <w:rFonts w:ascii="Cambria Math" w:hAnsi="Cambria Math"/>
                          <w:i/>
                        </w:rPr>
                      </m:ctrlPr>
                    </m:sSubPr>
                    <m:e>
                      <m:r>
                        <w:rPr>
                          <w:rFonts w:ascii="Cambria Math" w:hAnsi="Cambria Math"/>
                        </w:rPr>
                        <m:t>w</m:t>
                      </m:r>
                    </m:e>
                    <m:sub>
                      <m:r>
                        <w:rPr>
                          <w:rFonts w:ascii="Cambria Math" w:hAnsi="Cambria Math"/>
                        </w:rPr>
                        <m:t>k</m:t>
                      </m:r>
                    </m:sub>
                  </m:sSub>
                </m:sup>
              </m:sSubSup>
            </m:e>
          </m:nary>
          <m:r>
            <w:rPr>
              <w:rFonts w:ascii="Cambria Math" w:hAnsi="Cambria Math"/>
            </w:rPr>
            <m:t xml:space="preserve"> </m:t>
          </m:r>
        </m:oMath>
      </m:oMathPara>
    </w:p>
    <w:p w14:paraId="73C7ACB1" w14:textId="77777777" w:rsidR="00DE3A1D" w:rsidRPr="00AE6F84" w:rsidRDefault="00DE3A1D" w:rsidP="00DE3A1D">
      <w:r w:rsidRPr="00AE6F84">
        <w:rPr>
          <w:b/>
          <w:bCs/>
        </w:rPr>
        <w:t xml:space="preserve">Equation 1 </w:t>
      </w:r>
      <w:r w:rsidRPr="00AE6F84">
        <w:t xml:space="preserve">Dementia onset formula </w:t>
      </w:r>
    </w:p>
    <w:p w14:paraId="782735EE" w14:textId="77777777" w:rsidR="005D6CDF" w:rsidRPr="00AE6F84" w:rsidRDefault="00DE3A1D" w:rsidP="005D6CDF">
      <w:r w:rsidRPr="00AE6F84">
        <w:t xml:space="preserve">The mean time in each dementia stage has been collected from [27]. This provides a constant hazard (exponential assumptions) for the effect that time in a dementia stage has on disease progression. Initial dementia stage was set from a previously published </w:t>
      </w:r>
      <w:r w:rsidRPr="00AE6F84">
        <w:lastRenderedPageBreak/>
        <w:t>report [26]. We used a parametric proportional hazards age effect to scale the increasing effects that age has on dementia onset. This provides a continuous increase in risk with age rather than discrete banding, as seen in longitudinal studies of dementia incidence [28]. We calculated the relevant β for the per-year log-hazard slope increase of stage transitions [29,30,31]</w:t>
      </w:r>
      <w:r w:rsidR="004138ED" w:rsidRPr="00AE6F84">
        <w:t xml:space="preserve">. </w:t>
      </w:r>
      <w:r w:rsidR="005D6CDF" w:rsidRPr="00AE6F84">
        <w:t>Risk factor hazard ratios were applied to dementia onset. Onset from cognitively normal is driven by a baseline annual onset probability (converted to a hazard), then scaled by a parametric age effect and individual risk-factor hazard ratios (Equation 1). Full details of our model mechanisms are provided in the supplementary information (</w:t>
      </w:r>
      <w:proofErr w:type="spellStart"/>
      <w:r w:rsidR="005D6CDF" w:rsidRPr="00AE6F84">
        <w:t>pp.x</w:t>
      </w:r>
      <w:proofErr w:type="spellEnd"/>
      <w:r w:rsidR="005D6CDF" w:rsidRPr="00AE6F84">
        <w:t xml:space="preserve">-x). </w:t>
      </w:r>
    </w:p>
    <w:p w14:paraId="6C18767B" w14:textId="134CF542" w:rsidR="00387538" w:rsidRPr="00AE6F84" w:rsidRDefault="00387538" w:rsidP="00DE3A1D"/>
    <w:p w14:paraId="21CA037F" w14:textId="77777777" w:rsidR="00C41117" w:rsidRPr="00AE6F84" w:rsidRDefault="00C41117" w:rsidP="00C41117">
      <w:pPr>
        <w:rPr>
          <w:b/>
          <w:bCs/>
        </w:rPr>
      </w:pPr>
      <w:r w:rsidRPr="00AE6F84">
        <w:rPr>
          <w:b/>
          <w:bCs/>
        </w:rPr>
        <w:t>Risk factors</w:t>
      </w:r>
    </w:p>
    <w:p w14:paraId="64242CBB" w14:textId="42CA7970" w:rsidR="00CD2459" w:rsidRPr="00AE6F84" w:rsidRDefault="00C41117" w:rsidP="00DE3A1D">
      <w:r w:rsidRPr="00AE6F84">
        <w:t xml:space="preserve">In this model, risk factors </w:t>
      </w:r>
      <w:r w:rsidR="00D64DE7">
        <w:t xml:space="preserve">only </w:t>
      </w:r>
      <w:r w:rsidRPr="00AE6F84">
        <w:t>interact with dementia onset. Progression uses exponential stage-duration hazards, scaled by age. We only modelled disease- and genetic-related risk factors (leaving out socioeconomic and lifestyle-related risk factors). We used a single study for all HR’s</w:t>
      </w:r>
      <w:r w:rsidR="009045BD" w:rsidRPr="00AE6F84">
        <w:t xml:space="preserve"> and prevalences</w:t>
      </w:r>
      <w:r w:rsidRPr="00AE6F84">
        <w:t>, which derived them from the UK Biobank</w:t>
      </w:r>
      <w:r w:rsidR="00D33B21" w:rsidRPr="00AE6F84">
        <w:t xml:space="preserve"> (</w:t>
      </w:r>
      <w:r w:rsidR="002322FB" w:rsidRPr="00AE6F84">
        <w:t>Table</w:t>
      </w:r>
      <w:r w:rsidR="00D33B21" w:rsidRPr="00AE6F84">
        <w:t xml:space="preserve"> </w:t>
      </w:r>
      <w:r w:rsidR="00EF2405">
        <w:t>1</w:t>
      </w:r>
      <w:r w:rsidR="00D33B21" w:rsidRPr="00AE6F84">
        <w:t>)</w:t>
      </w:r>
      <w:r w:rsidR="00374C6C">
        <w:t>, except for PD</w:t>
      </w:r>
      <w:r w:rsidRPr="00AE6F84">
        <w:t xml:space="preserve"> [32]. </w:t>
      </w:r>
      <w:r w:rsidR="00D35D80">
        <w:t xml:space="preserve">We </w:t>
      </w:r>
      <w:r w:rsidR="005652B0">
        <w:t xml:space="preserve">obtained </w:t>
      </w:r>
      <w:r w:rsidR="00C153D9">
        <w:t>the HR for PD-dementia onset from a meta-analysis</w:t>
      </w:r>
      <w:r w:rsidR="004F0B05">
        <w:t xml:space="preserve"> (n = </w:t>
      </w:r>
      <w:r w:rsidR="00A7137B">
        <w:t>23</w:t>
      </w:r>
      <w:r w:rsidR="004F0B05">
        <w:t>)</w:t>
      </w:r>
      <w:r w:rsidR="00C153D9">
        <w:t xml:space="preserve"> of longitudinal studies </w:t>
      </w:r>
      <w:r w:rsidR="00F91C69">
        <w:t xml:space="preserve">that accounted for reverse causality </w:t>
      </w:r>
      <w:r w:rsidR="00C153D9">
        <w:t>[33].</w:t>
      </w:r>
      <w:r w:rsidR="00D35D80">
        <w:t xml:space="preserve"> </w:t>
      </w:r>
      <w:r w:rsidR="00677A63" w:rsidRPr="00677A63">
        <w:t>We applied the pooled HR from</w:t>
      </w:r>
      <w:r w:rsidR="00677A63">
        <w:t>,</w:t>
      </w:r>
      <w:r w:rsidR="00677A63" w:rsidRPr="00677A63">
        <w:t xml:space="preserve"> which reflects a composite of periodontal health measures, to a</w:t>
      </w:r>
      <w:r w:rsidR="00677A63">
        <w:t>n NHS</w:t>
      </w:r>
      <w:r w:rsidR="00677A63" w:rsidRPr="00677A63">
        <w:t xml:space="preserve"> prevalence estimate broadly consistent with the moderate-to-severe periodontal involvement captured across the included studies</w:t>
      </w:r>
      <w:r w:rsidR="00677A63">
        <w:t xml:space="preserve">. </w:t>
      </w:r>
      <w:r w:rsidRPr="00AE6F84">
        <w:t xml:space="preserve">Disease prevalence (except PD) and HRs were held constant throughout the forecast. </w:t>
      </w:r>
      <w:r w:rsidR="006128E2" w:rsidRPr="00AE6F84">
        <w:t xml:space="preserve">This risk set captures the vascular and inflammatory pathways that influence cognitive decline. We decided not to measure lifestyle factors due to </w:t>
      </w:r>
      <w:r w:rsidR="00D33B21" w:rsidRPr="00AE6F84">
        <w:t>difficulty in establishing prevalence rates relevant for individuals in later life</w:t>
      </w:r>
      <w:r w:rsidR="0057232D" w:rsidRPr="00AE6F84">
        <w:t>, and uncertainty over the role of early life socioeconomic factors (education level) on dementia onset specific to over 65 year olds</w:t>
      </w:r>
      <w:r w:rsidR="00D33B21" w:rsidRPr="00AE6F84">
        <w:t xml:space="preserve">. </w:t>
      </w:r>
    </w:p>
    <w:tbl>
      <w:tblPr>
        <w:tblStyle w:val="TableGrid"/>
        <w:tblW w:w="9351" w:type="dxa"/>
        <w:tblLook w:val="04A0" w:firstRow="1" w:lastRow="0" w:firstColumn="1" w:lastColumn="0" w:noHBand="0" w:noVBand="1"/>
      </w:tblPr>
      <w:tblGrid>
        <w:gridCol w:w="2689"/>
        <w:gridCol w:w="2835"/>
        <w:gridCol w:w="3827"/>
      </w:tblGrid>
      <w:tr w:rsidR="001B7FD6" w:rsidRPr="00AE6F84" w14:paraId="5A634E64" w14:textId="1FD2DE2A" w:rsidTr="001B7FD6">
        <w:tc>
          <w:tcPr>
            <w:tcW w:w="2689" w:type="dxa"/>
          </w:tcPr>
          <w:p w14:paraId="75E41884" w14:textId="04922BF1" w:rsidR="001B7FD6" w:rsidRPr="00AE6F84" w:rsidRDefault="001B7FD6" w:rsidP="00DE3A1D">
            <w:pPr>
              <w:rPr>
                <w:b/>
                <w:bCs/>
              </w:rPr>
            </w:pPr>
            <w:r w:rsidRPr="00AE6F84">
              <w:rPr>
                <w:b/>
                <w:bCs/>
              </w:rPr>
              <w:t>Risk factor</w:t>
            </w:r>
          </w:p>
        </w:tc>
        <w:tc>
          <w:tcPr>
            <w:tcW w:w="2835" w:type="dxa"/>
          </w:tcPr>
          <w:p w14:paraId="4A8D6E2C" w14:textId="02BCB61F" w:rsidR="001B7FD6" w:rsidRPr="00AE6F84" w:rsidRDefault="001B7FD6" w:rsidP="00DE3A1D">
            <w:pPr>
              <w:rPr>
                <w:b/>
                <w:bCs/>
              </w:rPr>
            </w:pPr>
            <w:r w:rsidRPr="00AE6F84">
              <w:rPr>
                <w:b/>
                <w:bCs/>
              </w:rPr>
              <w:t>HR (95% CI)</w:t>
            </w:r>
          </w:p>
        </w:tc>
        <w:tc>
          <w:tcPr>
            <w:tcW w:w="3827" w:type="dxa"/>
          </w:tcPr>
          <w:p w14:paraId="2EC86F51" w14:textId="3B7D0DD1" w:rsidR="001B7FD6" w:rsidRPr="00AE6F84" w:rsidRDefault="001B7FD6" w:rsidP="00DE3A1D">
            <w:pPr>
              <w:rPr>
                <w:b/>
                <w:bCs/>
              </w:rPr>
            </w:pPr>
            <w:r w:rsidRPr="00AE6F84">
              <w:rPr>
                <w:b/>
                <w:bCs/>
              </w:rPr>
              <w:t xml:space="preserve">Prevalence </w:t>
            </w:r>
          </w:p>
        </w:tc>
      </w:tr>
      <w:tr w:rsidR="001B7FD6" w:rsidRPr="00AE6F84" w14:paraId="457F29FD" w14:textId="0B251DE4" w:rsidTr="001B7FD6">
        <w:tc>
          <w:tcPr>
            <w:tcW w:w="2689" w:type="dxa"/>
          </w:tcPr>
          <w:p w14:paraId="2EC3359C" w14:textId="3A03275E" w:rsidR="001B7FD6" w:rsidRPr="00AE6F84" w:rsidRDefault="001B7FD6" w:rsidP="00DE3A1D">
            <w:pPr>
              <w:rPr>
                <w:b/>
                <w:bCs/>
              </w:rPr>
            </w:pPr>
            <w:r w:rsidRPr="00AE6F84">
              <w:rPr>
                <w:b/>
                <w:bCs/>
              </w:rPr>
              <w:t>Periodontal disease</w:t>
            </w:r>
          </w:p>
        </w:tc>
        <w:tc>
          <w:tcPr>
            <w:tcW w:w="2835" w:type="dxa"/>
          </w:tcPr>
          <w:p w14:paraId="11EC6F00" w14:textId="726FB457" w:rsidR="001B7FD6" w:rsidRPr="00AE6F84" w:rsidRDefault="001B7FD6" w:rsidP="00DE3A1D">
            <w:r w:rsidRPr="00AE6F84">
              <w:t>1.21 (1.07-1.38)</w:t>
            </w:r>
          </w:p>
        </w:tc>
        <w:tc>
          <w:tcPr>
            <w:tcW w:w="3827" w:type="dxa"/>
          </w:tcPr>
          <w:p w14:paraId="366B17DC" w14:textId="0AE05F06" w:rsidR="001B7FD6" w:rsidRPr="00AE6F84" w:rsidRDefault="001B7FD6" w:rsidP="00DE3A1D">
            <w:r w:rsidRPr="00AE6F84">
              <w:t>25%/50%/75%</w:t>
            </w:r>
          </w:p>
        </w:tc>
      </w:tr>
      <w:tr w:rsidR="001B7FD6" w:rsidRPr="00AE6F84" w14:paraId="54CB2E3E" w14:textId="2B1912ED" w:rsidTr="001B7FD6">
        <w:tc>
          <w:tcPr>
            <w:tcW w:w="2689" w:type="dxa"/>
          </w:tcPr>
          <w:p w14:paraId="3A7AAB4C" w14:textId="712A16F7" w:rsidR="001B7FD6" w:rsidRPr="00AE6F84" w:rsidRDefault="001B7FD6" w:rsidP="00DE3A1D">
            <w:pPr>
              <w:rPr>
                <w:b/>
                <w:bCs/>
              </w:rPr>
            </w:pPr>
            <w:r w:rsidRPr="00AE6F84">
              <w:rPr>
                <w:b/>
                <w:bCs/>
              </w:rPr>
              <w:t>Hearing difficulty</w:t>
            </w:r>
          </w:p>
        </w:tc>
        <w:tc>
          <w:tcPr>
            <w:tcW w:w="2835" w:type="dxa"/>
          </w:tcPr>
          <w:p w14:paraId="0F0A5B07" w14:textId="6CCE07E5" w:rsidR="001B7FD6" w:rsidRPr="00AE6F84" w:rsidRDefault="001B7FD6" w:rsidP="00DE3A1D">
            <w:r w:rsidRPr="00AE6F84">
              <w:t>1.21 (1.15-1.27)</w:t>
            </w:r>
          </w:p>
        </w:tc>
        <w:tc>
          <w:tcPr>
            <w:tcW w:w="3827" w:type="dxa"/>
          </w:tcPr>
          <w:p w14:paraId="1B52DBE9" w14:textId="4651A126" w:rsidR="001B7FD6" w:rsidRPr="00AE6F84" w:rsidRDefault="001B7FD6" w:rsidP="00DE3A1D">
            <w:r w:rsidRPr="00AE6F84">
              <w:t>36%</w:t>
            </w:r>
          </w:p>
        </w:tc>
      </w:tr>
      <w:tr w:rsidR="001B7FD6" w:rsidRPr="00AE6F84" w14:paraId="18283C8B" w14:textId="5F6633B1" w:rsidTr="001B7FD6">
        <w:tc>
          <w:tcPr>
            <w:tcW w:w="2689" w:type="dxa"/>
          </w:tcPr>
          <w:p w14:paraId="11B9EDFF" w14:textId="2AFE66A6" w:rsidR="001B7FD6" w:rsidRPr="00AE6F84" w:rsidRDefault="001B7FD6" w:rsidP="00DE3A1D">
            <w:pPr>
              <w:rPr>
                <w:b/>
                <w:bCs/>
              </w:rPr>
            </w:pPr>
            <w:r w:rsidRPr="00AE6F84">
              <w:rPr>
                <w:b/>
                <w:bCs/>
              </w:rPr>
              <w:t>Hypertension</w:t>
            </w:r>
          </w:p>
        </w:tc>
        <w:tc>
          <w:tcPr>
            <w:tcW w:w="2835" w:type="dxa"/>
          </w:tcPr>
          <w:p w14:paraId="24EC1193" w14:textId="2F154801" w:rsidR="001B7FD6" w:rsidRPr="00AE6F84" w:rsidRDefault="001B7FD6" w:rsidP="00DE3A1D">
            <w:r w:rsidRPr="00AE6F84">
              <w:t>1.36 (1.28-1.45)</w:t>
            </w:r>
          </w:p>
        </w:tc>
        <w:tc>
          <w:tcPr>
            <w:tcW w:w="3827" w:type="dxa"/>
          </w:tcPr>
          <w:p w14:paraId="0F6B0840" w14:textId="0B06CBA3" w:rsidR="001B7FD6" w:rsidRPr="00AE6F84" w:rsidRDefault="001B7FD6" w:rsidP="00DE3A1D">
            <w:r w:rsidRPr="00AE6F84">
              <w:t>45.2%</w:t>
            </w:r>
          </w:p>
        </w:tc>
      </w:tr>
      <w:tr w:rsidR="001B7FD6" w:rsidRPr="00AE6F84" w14:paraId="01C426FC" w14:textId="3CA22AFE" w:rsidTr="001B7FD6">
        <w:tc>
          <w:tcPr>
            <w:tcW w:w="2689" w:type="dxa"/>
          </w:tcPr>
          <w:p w14:paraId="45244A63" w14:textId="79ACAAE2" w:rsidR="001B7FD6" w:rsidRPr="00AE6F84" w:rsidRDefault="001B7FD6" w:rsidP="000F1879">
            <w:pPr>
              <w:rPr>
                <w:b/>
                <w:bCs/>
              </w:rPr>
            </w:pPr>
            <w:r w:rsidRPr="00AE6F84">
              <w:rPr>
                <w:b/>
                <w:bCs/>
              </w:rPr>
              <w:t>Obesity</w:t>
            </w:r>
          </w:p>
        </w:tc>
        <w:tc>
          <w:tcPr>
            <w:tcW w:w="2835" w:type="dxa"/>
          </w:tcPr>
          <w:p w14:paraId="1C46806C" w14:textId="714027E2" w:rsidR="001B7FD6" w:rsidRPr="00AE6F84" w:rsidRDefault="001B7FD6" w:rsidP="000F1879">
            <w:r w:rsidRPr="00AE6F84">
              <w:t>1.10 (1.03-1.18)</w:t>
            </w:r>
          </w:p>
        </w:tc>
        <w:tc>
          <w:tcPr>
            <w:tcW w:w="3827" w:type="dxa"/>
          </w:tcPr>
          <w:p w14:paraId="57B97B83" w14:textId="541ECDDF" w:rsidR="001B7FD6" w:rsidRPr="00AE6F84" w:rsidRDefault="001B7FD6" w:rsidP="000F1879">
            <w:r w:rsidRPr="00AE6F84">
              <w:t>24.3%</w:t>
            </w:r>
          </w:p>
        </w:tc>
      </w:tr>
      <w:tr w:rsidR="001B7FD6" w:rsidRPr="00AE6F84" w14:paraId="25D8F9D4" w14:textId="4D9AC695" w:rsidTr="001B7FD6">
        <w:tc>
          <w:tcPr>
            <w:tcW w:w="2689" w:type="dxa"/>
          </w:tcPr>
          <w:p w14:paraId="5D185595" w14:textId="7A0367D5" w:rsidR="001B7FD6" w:rsidRPr="00AE6F84" w:rsidRDefault="001B7FD6" w:rsidP="000F1879">
            <w:pPr>
              <w:rPr>
                <w:b/>
                <w:bCs/>
              </w:rPr>
            </w:pPr>
            <w:r w:rsidRPr="00AE6F84">
              <w:rPr>
                <w:b/>
                <w:bCs/>
              </w:rPr>
              <w:t>Depression</w:t>
            </w:r>
          </w:p>
        </w:tc>
        <w:tc>
          <w:tcPr>
            <w:tcW w:w="2835" w:type="dxa"/>
          </w:tcPr>
          <w:p w14:paraId="09980C47" w14:textId="31CA3857" w:rsidR="001B7FD6" w:rsidRPr="00AE6F84" w:rsidRDefault="001B7FD6" w:rsidP="000F1879">
            <w:r w:rsidRPr="00AE6F84">
              <w:t>1.93 (1.74-2.13)</w:t>
            </w:r>
          </w:p>
        </w:tc>
        <w:tc>
          <w:tcPr>
            <w:tcW w:w="3827" w:type="dxa"/>
          </w:tcPr>
          <w:p w14:paraId="291BAD6D" w14:textId="1BDB1E03" w:rsidR="001B7FD6" w:rsidRPr="00AE6F84" w:rsidRDefault="001B7FD6" w:rsidP="000F1879">
            <w:r w:rsidRPr="00AE6F84">
              <w:t>6.8%</w:t>
            </w:r>
          </w:p>
        </w:tc>
      </w:tr>
      <w:tr w:rsidR="001B7FD6" w:rsidRPr="00AE6F84" w14:paraId="1265352F" w14:textId="48E4E8A0" w:rsidTr="001B7FD6">
        <w:tc>
          <w:tcPr>
            <w:tcW w:w="2689" w:type="dxa"/>
          </w:tcPr>
          <w:p w14:paraId="0FF4FB95" w14:textId="7FE207C5" w:rsidR="001B7FD6" w:rsidRPr="00AE6F84" w:rsidRDefault="00B465DA" w:rsidP="000F1879">
            <w:pPr>
              <w:rPr>
                <w:b/>
                <w:bCs/>
              </w:rPr>
            </w:pPr>
            <w:r w:rsidRPr="00AE6F84">
              <w:rPr>
                <w:b/>
                <w:bCs/>
              </w:rPr>
              <w:t xml:space="preserve">Type 2 </w:t>
            </w:r>
            <w:r w:rsidR="001B7FD6" w:rsidRPr="00AE6F84">
              <w:rPr>
                <w:b/>
                <w:bCs/>
              </w:rPr>
              <w:t>Diabetes</w:t>
            </w:r>
          </w:p>
        </w:tc>
        <w:tc>
          <w:tcPr>
            <w:tcW w:w="2835" w:type="dxa"/>
          </w:tcPr>
          <w:p w14:paraId="44643422" w14:textId="02663FDA" w:rsidR="001B7FD6" w:rsidRPr="00AE6F84" w:rsidRDefault="001B7FD6" w:rsidP="000F1879">
            <w:r w:rsidRPr="00AE6F84">
              <w:t>2.06 (1.92-2.22)</w:t>
            </w:r>
          </w:p>
        </w:tc>
        <w:tc>
          <w:tcPr>
            <w:tcW w:w="3827" w:type="dxa"/>
          </w:tcPr>
          <w:p w14:paraId="5330CE3F" w14:textId="5DA9C529" w:rsidR="001B7FD6" w:rsidRPr="00AE6F84" w:rsidRDefault="005D2AEB" w:rsidP="000F1879">
            <w:r w:rsidRPr="00AE6F84">
              <w:t>4.5</w:t>
            </w:r>
            <w:r w:rsidR="001B7FD6" w:rsidRPr="00AE6F84">
              <w:t>%</w:t>
            </w:r>
          </w:p>
        </w:tc>
      </w:tr>
      <w:tr w:rsidR="001B7FD6" w:rsidRPr="00AE6F84" w14:paraId="501C9C3A" w14:textId="4D1A5470" w:rsidTr="001B7FD6">
        <w:tc>
          <w:tcPr>
            <w:tcW w:w="2689" w:type="dxa"/>
          </w:tcPr>
          <w:p w14:paraId="34A4506C" w14:textId="7C8C7425" w:rsidR="001B7FD6" w:rsidRPr="00AE6F84" w:rsidRDefault="001B7FD6" w:rsidP="00DE3A1D">
            <w:pPr>
              <w:rPr>
                <w:b/>
                <w:bCs/>
              </w:rPr>
            </w:pPr>
            <w:r w:rsidRPr="00AE6F84">
              <w:rPr>
                <w:b/>
                <w:bCs/>
              </w:rPr>
              <w:t>APOE ε4 carrier</w:t>
            </w:r>
          </w:p>
        </w:tc>
        <w:tc>
          <w:tcPr>
            <w:tcW w:w="2835" w:type="dxa"/>
          </w:tcPr>
          <w:p w14:paraId="1EAE18C7" w14:textId="0B03676D" w:rsidR="001B7FD6" w:rsidRPr="00AE6F84" w:rsidRDefault="001B7FD6" w:rsidP="00DE3A1D">
            <w:r w:rsidRPr="00AE6F84">
              <w:t>3.03 (2.88-3.19)</w:t>
            </w:r>
          </w:p>
        </w:tc>
        <w:tc>
          <w:tcPr>
            <w:tcW w:w="3827" w:type="dxa"/>
          </w:tcPr>
          <w:p w14:paraId="17F94018" w14:textId="28FE673E" w:rsidR="001B7FD6" w:rsidRPr="00AE6F84" w:rsidRDefault="001B7FD6" w:rsidP="00DE3A1D">
            <w:r w:rsidRPr="00AE6F84">
              <w:t>25.6%</w:t>
            </w:r>
          </w:p>
        </w:tc>
      </w:tr>
    </w:tbl>
    <w:p w14:paraId="50F14FC8" w14:textId="10145D05" w:rsidR="00E977CF" w:rsidRPr="00AE6F84" w:rsidRDefault="00EF2405" w:rsidP="00DE3A1D">
      <w:r>
        <w:rPr>
          <w:b/>
          <w:bCs/>
        </w:rPr>
        <w:t>Table</w:t>
      </w:r>
      <w:r w:rsidR="00D33B21" w:rsidRPr="00AE6F84">
        <w:rPr>
          <w:b/>
          <w:bCs/>
        </w:rPr>
        <w:t xml:space="preserve"> </w:t>
      </w:r>
      <w:r>
        <w:rPr>
          <w:b/>
          <w:bCs/>
        </w:rPr>
        <w:t>1</w:t>
      </w:r>
      <w:r w:rsidR="00B10679">
        <w:rPr>
          <w:b/>
          <w:bCs/>
        </w:rPr>
        <w:t xml:space="preserve"> </w:t>
      </w:r>
      <w:r w:rsidR="00D33B21" w:rsidRPr="00AE6F84">
        <w:t xml:space="preserve">Hazard Ratios (HR) and prevalence rates for diseases modelled </w:t>
      </w:r>
    </w:p>
    <w:p w14:paraId="1F8420E8" w14:textId="77777777" w:rsidR="00EC47DC" w:rsidRPr="00AE6F84" w:rsidRDefault="00EC47DC" w:rsidP="00DE3A1D"/>
    <w:p w14:paraId="0DC960EC" w14:textId="77777777" w:rsidR="00EC47DC" w:rsidRPr="00AE6F84" w:rsidRDefault="00EC47DC" w:rsidP="00EC47DC">
      <w:pPr>
        <w:rPr>
          <w:b/>
          <w:bCs/>
        </w:rPr>
      </w:pPr>
      <w:r w:rsidRPr="00AE6F84">
        <w:rPr>
          <w:b/>
          <w:bCs/>
        </w:rPr>
        <w:t>Estimation of costs and QALYs</w:t>
      </w:r>
    </w:p>
    <w:p w14:paraId="5A3C050C" w14:textId="2407EB26" w:rsidR="00331E92" w:rsidRPr="00AE6F84" w:rsidRDefault="00EC47DC" w:rsidP="00331E92">
      <w:r w:rsidRPr="00AE6F84">
        <w:lastRenderedPageBreak/>
        <w:t xml:space="preserve">We estimated the economic costs of dementia for direct formal healthcare and social care and informal caregivers. Table </w:t>
      </w:r>
      <w:r w:rsidR="00B10679">
        <w:t>2</w:t>
      </w:r>
      <w:r w:rsidRPr="00AE6F84">
        <w:t xml:space="preserve"> shows the yearly costs used and Figure </w:t>
      </w:r>
      <w:r w:rsidR="00B10679">
        <w:t>1</w:t>
      </w:r>
      <w:r w:rsidRPr="00AE6F84">
        <w:t xml:space="preserve"> shows </w:t>
      </w:r>
      <w:r w:rsidR="00B10679">
        <w:t>how care costing was allocated</w:t>
      </w:r>
      <w:r w:rsidRPr="00AE6F84">
        <w:t>. Costing data was sourced from a 2024 report on dementia and converted to 2023 values using GDP deflators [3</w:t>
      </w:r>
      <w:r w:rsidR="00702826">
        <w:t>4</w:t>
      </w:r>
      <w:r w:rsidRPr="00AE6F84">
        <w:t>,3</w:t>
      </w:r>
      <w:r w:rsidR="00702826">
        <w:t>5</w:t>
      </w:r>
      <w:r w:rsidRPr="00AE6F84">
        <w:t xml:space="preserve">]. </w:t>
      </w:r>
      <w:r w:rsidR="00210AA5" w:rsidRPr="00AE6F84">
        <w:t>For d</w:t>
      </w:r>
      <w:r w:rsidR="00331E92" w:rsidRPr="00AE6F84">
        <w:t>irect formal healthcare and social care costs</w:t>
      </w:r>
      <w:r w:rsidR="00210AA5" w:rsidRPr="00AE6F84">
        <w:t xml:space="preserve"> we</w:t>
      </w:r>
      <w:r w:rsidR="00331E92" w:rsidRPr="00AE6F84">
        <w:t xml:space="preserve"> included healthcare and social care. Informal costs include unpaid care and quality of life costs, which we separated into costs for dementia patients in home or institution care (Supplementary Material </w:t>
      </w:r>
      <w:proofErr w:type="spellStart"/>
      <w:r w:rsidR="00331E92" w:rsidRPr="00AE6F84">
        <w:t>pp.xx</w:t>
      </w:r>
      <w:proofErr w:type="spellEnd"/>
      <w:r w:rsidR="00331E92" w:rsidRPr="00AE6F84">
        <w:t xml:space="preserve">-xx). </w:t>
      </w:r>
      <w:r w:rsidR="00995CE9" w:rsidRPr="00AE6F84">
        <w:t xml:space="preserve">This means our total </w:t>
      </w:r>
      <w:r w:rsidR="00A537DC" w:rsidRPr="00AE6F84">
        <w:t xml:space="preserve">per person costs </w:t>
      </w:r>
      <w:r w:rsidR="00995CE9" w:rsidRPr="00AE6F84">
        <w:t>o</w:t>
      </w:r>
      <w:r w:rsidR="00A537DC" w:rsidRPr="00AE6F84">
        <w:t>f</w:t>
      </w:r>
      <w:r w:rsidR="00995CE9" w:rsidRPr="00AE6F84">
        <w:t xml:space="preserve"> dementia </w:t>
      </w:r>
      <w:r w:rsidR="00A537DC" w:rsidRPr="00AE6F84">
        <w:t xml:space="preserve">by severity are less than the </w:t>
      </w:r>
      <w:r w:rsidR="00803898" w:rsidRPr="00AE6F84">
        <w:t xml:space="preserve">values found in the Carnall Farrar </w:t>
      </w:r>
      <w:r w:rsidR="009559C6">
        <w:t>as our model allocates costs by care setting</w:t>
      </w:r>
      <w:r w:rsidR="00D75F91">
        <w:t xml:space="preserve"> and then distinguishes between formal and informal, rather than aggregated </w:t>
      </w:r>
      <w:r w:rsidR="000815D1">
        <w:t>as single per-person costs</w:t>
      </w:r>
      <w:r w:rsidR="00803898" w:rsidRPr="00AE6F84">
        <w:t>.</w:t>
      </w:r>
      <w:r w:rsidR="00743731">
        <w:t xml:space="preserve"> We excluded economic costs </w:t>
      </w:r>
      <w:r w:rsidR="00ED05A8">
        <w:t xml:space="preserve">as these </w:t>
      </w:r>
      <w:r w:rsidR="00D862D1">
        <w:t>account for a reduction in consumption</w:t>
      </w:r>
      <w:r w:rsidR="006D0CA2">
        <w:t xml:space="preserve">, which isn’t a cost saving from a healthcare and social care system’s perspective. </w:t>
      </w:r>
    </w:p>
    <w:p w14:paraId="2956ADCE" w14:textId="21FDBC82" w:rsidR="00D84C02" w:rsidRPr="00AE6F84" w:rsidRDefault="00C90D89" w:rsidP="00D84C02">
      <w:r w:rsidRPr="00AE6F84">
        <w:t>QALYs are commonly used to value the benefit of interventions, with one QALY equating a year of life in perfect health [3</w:t>
      </w:r>
      <w:r w:rsidR="00702826">
        <w:t>6</w:t>
      </w:r>
      <w:r w:rsidRPr="00AE6F84">
        <w:t>].</w:t>
      </w:r>
      <w:r w:rsidR="008C16CD" w:rsidRPr="00AE6F84">
        <w:t xml:space="preserve"> This means years of life can take into account the quality and quantity of life. Dementia stage specific QALY utility values were obtained from a previous study modelling the benefits of population-level interventions for dementia risk factors and applied to those with dementia [3</w:t>
      </w:r>
      <w:r w:rsidR="00702826">
        <w:t>7</w:t>
      </w:r>
      <w:r w:rsidR="008C16CD" w:rsidRPr="00AE6F84">
        <w:t xml:space="preserve">]. </w:t>
      </w:r>
      <w:r w:rsidR="006C503A" w:rsidRPr="00AE6F84">
        <w:t>Age specific utility values for cognitively normal were taken from the UK Population Norms for EQ-5D [3</w:t>
      </w:r>
      <w:r w:rsidR="00702826">
        <w:t>8</w:t>
      </w:r>
      <w:r w:rsidR="006C503A" w:rsidRPr="00AE6F84">
        <w:t>].</w:t>
      </w:r>
      <w:r w:rsidR="006D50B2" w:rsidRPr="00AE6F84">
        <w:t xml:space="preserve"> An informal caregiver for someone with dementia will also see their quality of life affected due to the strain of care. We </w:t>
      </w:r>
      <w:r w:rsidR="0014014F">
        <w:t>attach caregivers (and caregiver QALYs) to those</w:t>
      </w:r>
      <w:r w:rsidR="00B76201">
        <w:t xml:space="preserve"> with dementia being treated at home</w:t>
      </w:r>
      <w:r w:rsidR="006D50B2" w:rsidRPr="00AE6F84">
        <w:t xml:space="preserve">. </w:t>
      </w:r>
      <w:r w:rsidR="00B76201">
        <w:t>These caregivers are not part of the simulated population</w:t>
      </w:r>
      <w:r w:rsidR="00D233E6">
        <w:t xml:space="preserve"> size.</w:t>
      </w:r>
      <w:r w:rsidR="00F765D1">
        <w:t xml:space="preserve"> </w:t>
      </w:r>
      <w:r w:rsidR="006D50B2" w:rsidRPr="00AE6F84">
        <w:t>These utility values were attained from literature assessing the impact of caring for people with dementia [3</w:t>
      </w:r>
      <w:r w:rsidR="00702826">
        <w:t>9</w:t>
      </w:r>
      <w:r w:rsidR="006D50B2" w:rsidRPr="00AE6F84">
        <w:t>].</w:t>
      </w:r>
      <w:r w:rsidR="008F4F3D" w:rsidRPr="00AE6F84">
        <w:t xml:space="preserve"> </w:t>
      </w:r>
      <w:r w:rsidR="007773FA" w:rsidRPr="00AE6F84">
        <w:t xml:space="preserve">Despite the </w:t>
      </w:r>
      <w:r w:rsidR="009770E8" w:rsidRPr="00AE6F84">
        <w:t>National Institute of  Care and Excellence (NICE) and the UK Treasury suggestion to annually discount costs and QALYs at 3.5%, we decided not to in order to increase comparability of results</w:t>
      </w:r>
      <w:r w:rsidR="008F4F3D" w:rsidRPr="00AE6F84">
        <w:t xml:space="preserve"> [</w:t>
      </w:r>
      <w:r w:rsidR="00702826">
        <w:t>40</w:t>
      </w:r>
      <w:r w:rsidR="008F4F3D" w:rsidRPr="00AE6F84">
        <w:t xml:space="preserve">]. </w:t>
      </w:r>
      <w:r w:rsidR="00D84C02" w:rsidRPr="00AE6F84">
        <w:t>Within each calendar year, differences in total QALYs between scenarios reflect changes attributable to PD-driven differences in dementia onset, survival, and progression (and associated caregiver impacts), holding all other model components constant. Full methodology for the measurement of costs and QALYs can be found in the supplementary information (</w:t>
      </w:r>
      <w:proofErr w:type="spellStart"/>
      <w:r w:rsidR="00D84C02" w:rsidRPr="00AE6F84">
        <w:t>pp.x</w:t>
      </w:r>
      <w:proofErr w:type="spellEnd"/>
      <w:r w:rsidR="00D84C02" w:rsidRPr="00AE6F84">
        <w:t xml:space="preserve">-x). </w:t>
      </w:r>
    </w:p>
    <w:tbl>
      <w:tblPr>
        <w:tblStyle w:val="TableGrid"/>
        <w:tblW w:w="11199" w:type="dxa"/>
        <w:tblInd w:w="-1139" w:type="dxa"/>
        <w:tblLook w:val="04A0" w:firstRow="1" w:lastRow="0" w:firstColumn="1" w:lastColumn="0" w:noHBand="0" w:noVBand="1"/>
      </w:tblPr>
      <w:tblGrid>
        <w:gridCol w:w="1292"/>
        <w:gridCol w:w="2238"/>
        <w:gridCol w:w="1282"/>
        <w:gridCol w:w="1282"/>
        <w:gridCol w:w="2274"/>
        <w:gridCol w:w="1274"/>
        <w:gridCol w:w="1557"/>
      </w:tblGrid>
      <w:tr w:rsidR="00D84C02" w:rsidRPr="00AE6F84" w14:paraId="18A06D20" w14:textId="77777777" w:rsidTr="000F1879">
        <w:tc>
          <w:tcPr>
            <w:tcW w:w="1294" w:type="dxa"/>
          </w:tcPr>
          <w:p w14:paraId="7D567499" w14:textId="77777777" w:rsidR="00D84C02" w:rsidRPr="00AE6F84" w:rsidRDefault="00D84C02" w:rsidP="000F1879">
            <w:pPr>
              <w:rPr>
                <w:sz w:val="22"/>
                <w:szCs w:val="22"/>
              </w:rPr>
            </w:pPr>
          </w:p>
        </w:tc>
        <w:tc>
          <w:tcPr>
            <w:tcW w:w="4786" w:type="dxa"/>
            <w:gridSpan w:val="3"/>
          </w:tcPr>
          <w:p w14:paraId="78C41DB2" w14:textId="77777777" w:rsidR="00D84C02" w:rsidRPr="00AE6F84" w:rsidRDefault="00D84C02" w:rsidP="000F1879">
            <w:pPr>
              <w:rPr>
                <w:b/>
                <w:bCs/>
                <w:sz w:val="22"/>
                <w:szCs w:val="22"/>
              </w:rPr>
            </w:pPr>
            <w:r w:rsidRPr="00AE6F84">
              <w:rPr>
                <w:b/>
                <w:bCs/>
                <w:sz w:val="22"/>
                <w:szCs w:val="22"/>
              </w:rPr>
              <w:t>Home Care</w:t>
            </w:r>
          </w:p>
        </w:tc>
        <w:tc>
          <w:tcPr>
            <w:tcW w:w="5119" w:type="dxa"/>
            <w:gridSpan w:val="3"/>
          </w:tcPr>
          <w:p w14:paraId="16B42948" w14:textId="77777777" w:rsidR="00D84C02" w:rsidRPr="00AE6F84" w:rsidRDefault="00D84C02" w:rsidP="000F1879">
            <w:pPr>
              <w:rPr>
                <w:b/>
                <w:bCs/>
                <w:sz w:val="22"/>
                <w:szCs w:val="22"/>
              </w:rPr>
            </w:pPr>
            <w:r w:rsidRPr="00AE6F84">
              <w:rPr>
                <w:b/>
                <w:bCs/>
                <w:sz w:val="22"/>
                <w:szCs w:val="22"/>
              </w:rPr>
              <w:t>Institutional Care</w:t>
            </w:r>
          </w:p>
        </w:tc>
      </w:tr>
      <w:tr w:rsidR="00D84C02" w:rsidRPr="00AE6F84" w14:paraId="79412800" w14:textId="77777777" w:rsidTr="000F1879">
        <w:tc>
          <w:tcPr>
            <w:tcW w:w="1294" w:type="dxa"/>
          </w:tcPr>
          <w:p w14:paraId="5D87206B" w14:textId="77777777" w:rsidR="00D84C02" w:rsidRPr="00AE6F84" w:rsidRDefault="00D84C02" w:rsidP="000F1879">
            <w:pPr>
              <w:rPr>
                <w:b/>
                <w:bCs/>
                <w:sz w:val="22"/>
                <w:szCs w:val="22"/>
              </w:rPr>
            </w:pPr>
            <w:r w:rsidRPr="00AE6F84">
              <w:rPr>
                <w:b/>
                <w:bCs/>
                <w:sz w:val="22"/>
                <w:szCs w:val="22"/>
              </w:rPr>
              <w:t xml:space="preserve">Severity </w:t>
            </w:r>
          </w:p>
        </w:tc>
        <w:tc>
          <w:tcPr>
            <w:tcW w:w="2249" w:type="dxa"/>
          </w:tcPr>
          <w:p w14:paraId="23F380C4" w14:textId="77777777" w:rsidR="00D84C02" w:rsidRPr="00AE6F84" w:rsidRDefault="00D84C02" w:rsidP="000F1879">
            <w:pPr>
              <w:rPr>
                <w:b/>
                <w:bCs/>
                <w:sz w:val="22"/>
                <w:szCs w:val="22"/>
              </w:rPr>
            </w:pPr>
            <w:r w:rsidRPr="00AE6F84">
              <w:rPr>
                <w:b/>
                <w:bCs/>
                <w:sz w:val="22"/>
                <w:szCs w:val="22"/>
              </w:rPr>
              <w:t>Formal</w:t>
            </w:r>
          </w:p>
        </w:tc>
        <w:tc>
          <w:tcPr>
            <w:tcW w:w="1282" w:type="dxa"/>
          </w:tcPr>
          <w:p w14:paraId="4F9F9527" w14:textId="77777777" w:rsidR="00D84C02" w:rsidRPr="00AE6F84" w:rsidRDefault="00D84C02" w:rsidP="000F1879">
            <w:pPr>
              <w:rPr>
                <w:b/>
                <w:bCs/>
                <w:sz w:val="22"/>
                <w:szCs w:val="22"/>
              </w:rPr>
            </w:pPr>
            <w:r w:rsidRPr="00AE6F84">
              <w:rPr>
                <w:b/>
                <w:bCs/>
                <w:sz w:val="22"/>
                <w:szCs w:val="22"/>
              </w:rPr>
              <w:t>Informal</w:t>
            </w:r>
          </w:p>
        </w:tc>
        <w:tc>
          <w:tcPr>
            <w:tcW w:w="1255" w:type="dxa"/>
          </w:tcPr>
          <w:p w14:paraId="3829CA9E" w14:textId="77777777" w:rsidR="00D84C02" w:rsidRPr="00AE6F84" w:rsidRDefault="00D84C02" w:rsidP="000F1879">
            <w:pPr>
              <w:rPr>
                <w:b/>
                <w:bCs/>
                <w:sz w:val="22"/>
                <w:szCs w:val="22"/>
              </w:rPr>
            </w:pPr>
            <w:r w:rsidRPr="00AE6F84">
              <w:rPr>
                <w:b/>
                <w:bCs/>
                <w:sz w:val="22"/>
                <w:szCs w:val="22"/>
              </w:rPr>
              <w:t>Total</w:t>
            </w:r>
          </w:p>
        </w:tc>
        <w:tc>
          <w:tcPr>
            <w:tcW w:w="2284" w:type="dxa"/>
          </w:tcPr>
          <w:p w14:paraId="364ED3E2" w14:textId="77777777" w:rsidR="00D84C02" w:rsidRPr="00AE6F84" w:rsidRDefault="00D84C02" w:rsidP="000F1879">
            <w:pPr>
              <w:rPr>
                <w:b/>
                <w:bCs/>
                <w:sz w:val="22"/>
                <w:szCs w:val="22"/>
              </w:rPr>
            </w:pPr>
            <w:r w:rsidRPr="00AE6F84">
              <w:rPr>
                <w:b/>
                <w:bCs/>
                <w:sz w:val="22"/>
                <w:szCs w:val="22"/>
              </w:rPr>
              <w:t>Formal</w:t>
            </w:r>
          </w:p>
        </w:tc>
        <w:tc>
          <w:tcPr>
            <w:tcW w:w="1275" w:type="dxa"/>
          </w:tcPr>
          <w:p w14:paraId="09235FB2" w14:textId="77777777" w:rsidR="00D84C02" w:rsidRPr="00AE6F84" w:rsidRDefault="00D84C02" w:rsidP="000F1879">
            <w:pPr>
              <w:rPr>
                <w:b/>
                <w:bCs/>
                <w:sz w:val="22"/>
                <w:szCs w:val="22"/>
              </w:rPr>
            </w:pPr>
            <w:r w:rsidRPr="00AE6F84">
              <w:rPr>
                <w:b/>
                <w:bCs/>
                <w:sz w:val="22"/>
                <w:szCs w:val="22"/>
              </w:rPr>
              <w:t>Informal</w:t>
            </w:r>
          </w:p>
        </w:tc>
        <w:tc>
          <w:tcPr>
            <w:tcW w:w="1560" w:type="dxa"/>
          </w:tcPr>
          <w:p w14:paraId="2D1AD3EE" w14:textId="77777777" w:rsidR="00D84C02" w:rsidRPr="00AE6F84" w:rsidRDefault="00D84C02" w:rsidP="000F1879">
            <w:pPr>
              <w:rPr>
                <w:b/>
                <w:bCs/>
                <w:sz w:val="22"/>
                <w:szCs w:val="22"/>
              </w:rPr>
            </w:pPr>
            <w:r w:rsidRPr="00AE6F84">
              <w:rPr>
                <w:b/>
                <w:bCs/>
                <w:sz w:val="22"/>
                <w:szCs w:val="22"/>
              </w:rPr>
              <w:t>Total</w:t>
            </w:r>
          </w:p>
        </w:tc>
      </w:tr>
      <w:tr w:rsidR="00D84C02" w:rsidRPr="00AE6F84" w14:paraId="480B274E" w14:textId="77777777" w:rsidTr="000F1879">
        <w:tc>
          <w:tcPr>
            <w:tcW w:w="1294" w:type="dxa"/>
          </w:tcPr>
          <w:p w14:paraId="53A88055" w14:textId="77777777" w:rsidR="00D84C02" w:rsidRPr="00AE6F84" w:rsidRDefault="00D84C02" w:rsidP="000F1879">
            <w:pPr>
              <w:rPr>
                <w:b/>
                <w:bCs/>
                <w:sz w:val="22"/>
                <w:szCs w:val="22"/>
              </w:rPr>
            </w:pPr>
            <w:r w:rsidRPr="00AE6F84">
              <w:rPr>
                <w:b/>
                <w:bCs/>
                <w:sz w:val="22"/>
                <w:szCs w:val="22"/>
              </w:rPr>
              <w:t>Mild</w:t>
            </w:r>
          </w:p>
        </w:tc>
        <w:tc>
          <w:tcPr>
            <w:tcW w:w="2249" w:type="dxa"/>
          </w:tcPr>
          <w:p w14:paraId="0250324C" w14:textId="77777777" w:rsidR="00D84C02" w:rsidRPr="00AE6F84" w:rsidRDefault="00D84C02" w:rsidP="000F1879">
            <w:pPr>
              <w:rPr>
                <w:sz w:val="22"/>
                <w:szCs w:val="22"/>
              </w:rPr>
            </w:pPr>
            <w:r w:rsidRPr="00AE6F84">
              <w:rPr>
                <w:sz w:val="22"/>
                <w:szCs w:val="22"/>
              </w:rPr>
              <w:t>£7,466.70</w:t>
            </w:r>
          </w:p>
        </w:tc>
        <w:tc>
          <w:tcPr>
            <w:tcW w:w="1282" w:type="dxa"/>
          </w:tcPr>
          <w:p w14:paraId="59A632EC" w14:textId="77777777" w:rsidR="00D84C02" w:rsidRPr="00AE6F84" w:rsidRDefault="00D84C02" w:rsidP="000F1879">
            <w:pPr>
              <w:rPr>
                <w:sz w:val="22"/>
                <w:szCs w:val="22"/>
              </w:rPr>
            </w:pPr>
            <w:r w:rsidRPr="00AE6F84">
              <w:rPr>
                <w:sz w:val="22"/>
                <w:szCs w:val="22"/>
              </w:rPr>
              <w:t>£10,189.55</w:t>
            </w:r>
          </w:p>
        </w:tc>
        <w:tc>
          <w:tcPr>
            <w:tcW w:w="1255" w:type="dxa"/>
          </w:tcPr>
          <w:p w14:paraId="57FC731C" w14:textId="77777777" w:rsidR="00D84C02" w:rsidRPr="00AE6F84" w:rsidRDefault="00D84C02" w:rsidP="000F1879">
            <w:pPr>
              <w:rPr>
                <w:sz w:val="22"/>
                <w:szCs w:val="22"/>
              </w:rPr>
            </w:pPr>
            <w:r w:rsidRPr="00AE6F84">
              <w:rPr>
                <w:sz w:val="22"/>
                <w:szCs w:val="22"/>
              </w:rPr>
              <w:t>£17,656.25</w:t>
            </w:r>
          </w:p>
        </w:tc>
        <w:tc>
          <w:tcPr>
            <w:tcW w:w="2284" w:type="dxa"/>
          </w:tcPr>
          <w:p w14:paraId="0AD8CED2" w14:textId="77777777" w:rsidR="00D84C02" w:rsidRPr="00AE6F84" w:rsidRDefault="00D84C02" w:rsidP="000F1879">
            <w:pPr>
              <w:rPr>
                <w:sz w:val="22"/>
                <w:szCs w:val="22"/>
              </w:rPr>
            </w:pPr>
            <w:r w:rsidRPr="00AE6F84">
              <w:rPr>
                <w:sz w:val="22"/>
                <w:szCs w:val="22"/>
              </w:rPr>
              <w:t>£23,144.27</w:t>
            </w:r>
          </w:p>
        </w:tc>
        <w:tc>
          <w:tcPr>
            <w:tcW w:w="1275" w:type="dxa"/>
          </w:tcPr>
          <w:p w14:paraId="3A82F301" w14:textId="77777777" w:rsidR="00D84C02" w:rsidRPr="00AE6F84" w:rsidRDefault="00D84C02" w:rsidP="000F1879">
            <w:pPr>
              <w:rPr>
                <w:sz w:val="22"/>
                <w:szCs w:val="22"/>
              </w:rPr>
            </w:pPr>
            <w:r w:rsidRPr="00AE6F84">
              <w:rPr>
                <w:sz w:val="22"/>
                <w:szCs w:val="22"/>
              </w:rPr>
              <w:t>£874.93</w:t>
            </w:r>
          </w:p>
        </w:tc>
        <w:tc>
          <w:tcPr>
            <w:tcW w:w="1560" w:type="dxa"/>
          </w:tcPr>
          <w:p w14:paraId="4CB1475A" w14:textId="77777777" w:rsidR="00D84C02" w:rsidRPr="00AE6F84" w:rsidRDefault="00D84C02" w:rsidP="000F1879">
            <w:pPr>
              <w:rPr>
                <w:sz w:val="22"/>
                <w:szCs w:val="22"/>
              </w:rPr>
            </w:pPr>
            <w:r w:rsidRPr="00AE6F84">
              <w:rPr>
                <w:sz w:val="22"/>
                <w:szCs w:val="22"/>
              </w:rPr>
              <w:t>£24,019.19</w:t>
            </w:r>
          </w:p>
        </w:tc>
      </w:tr>
      <w:tr w:rsidR="00D84C02" w:rsidRPr="00AE6F84" w14:paraId="4FA7FF25" w14:textId="77777777" w:rsidTr="000F1879">
        <w:tc>
          <w:tcPr>
            <w:tcW w:w="1294" w:type="dxa"/>
          </w:tcPr>
          <w:p w14:paraId="6EEFAC7B" w14:textId="77777777" w:rsidR="00D84C02" w:rsidRPr="00AE6F84" w:rsidRDefault="00D84C02" w:rsidP="000F1879">
            <w:pPr>
              <w:rPr>
                <w:b/>
                <w:bCs/>
                <w:sz w:val="22"/>
                <w:szCs w:val="22"/>
              </w:rPr>
            </w:pPr>
            <w:r w:rsidRPr="00AE6F84">
              <w:rPr>
                <w:b/>
                <w:bCs/>
                <w:sz w:val="22"/>
                <w:szCs w:val="22"/>
              </w:rPr>
              <w:t>Moderate</w:t>
            </w:r>
          </w:p>
        </w:tc>
        <w:tc>
          <w:tcPr>
            <w:tcW w:w="2249" w:type="dxa"/>
          </w:tcPr>
          <w:p w14:paraId="7BB8E005" w14:textId="77777777" w:rsidR="00D84C02" w:rsidRPr="00AE6F84" w:rsidRDefault="00D84C02" w:rsidP="000F1879">
            <w:pPr>
              <w:rPr>
                <w:sz w:val="22"/>
                <w:szCs w:val="22"/>
              </w:rPr>
            </w:pPr>
            <w:r w:rsidRPr="00AE6F84">
              <w:rPr>
                <w:sz w:val="22"/>
                <w:szCs w:val="22"/>
              </w:rPr>
              <w:t>£7,180.18</w:t>
            </w:r>
          </w:p>
        </w:tc>
        <w:tc>
          <w:tcPr>
            <w:tcW w:w="1282" w:type="dxa"/>
          </w:tcPr>
          <w:p w14:paraId="7E770B09" w14:textId="77777777" w:rsidR="00D84C02" w:rsidRPr="00AE6F84" w:rsidRDefault="00D84C02" w:rsidP="000F1879">
            <w:pPr>
              <w:rPr>
                <w:sz w:val="22"/>
                <w:szCs w:val="22"/>
              </w:rPr>
            </w:pPr>
            <w:r w:rsidRPr="00AE6F84">
              <w:rPr>
                <w:sz w:val="22"/>
                <w:szCs w:val="22"/>
              </w:rPr>
              <w:t>£33,726.09</w:t>
            </w:r>
          </w:p>
        </w:tc>
        <w:tc>
          <w:tcPr>
            <w:tcW w:w="1255" w:type="dxa"/>
          </w:tcPr>
          <w:p w14:paraId="37EF55C6" w14:textId="77777777" w:rsidR="00D84C02" w:rsidRPr="00AE6F84" w:rsidRDefault="00D84C02" w:rsidP="000F1879">
            <w:pPr>
              <w:rPr>
                <w:sz w:val="22"/>
                <w:szCs w:val="22"/>
              </w:rPr>
            </w:pPr>
            <w:r w:rsidRPr="00AE6F84">
              <w:rPr>
                <w:sz w:val="22"/>
                <w:szCs w:val="22"/>
              </w:rPr>
              <w:t>£40,906.28</w:t>
            </w:r>
          </w:p>
        </w:tc>
        <w:tc>
          <w:tcPr>
            <w:tcW w:w="2284" w:type="dxa"/>
          </w:tcPr>
          <w:p w14:paraId="73BA705B" w14:textId="77777777" w:rsidR="00D84C02" w:rsidRPr="00AE6F84" w:rsidRDefault="00D84C02" w:rsidP="000F1879">
            <w:pPr>
              <w:rPr>
                <w:sz w:val="22"/>
                <w:szCs w:val="22"/>
              </w:rPr>
            </w:pPr>
            <w:r w:rsidRPr="00AE6F84">
              <w:rPr>
                <w:sz w:val="22"/>
                <w:szCs w:val="22"/>
              </w:rPr>
              <w:t>£15,552.58</w:t>
            </w:r>
          </w:p>
        </w:tc>
        <w:tc>
          <w:tcPr>
            <w:tcW w:w="1275" w:type="dxa"/>
          </w:tcPr>
          <w:p w14:paraId="527554AF" w14:textId="77777777" w:rsidR="00D84C02" w:rsidRPr="00AE6F84" w:rsidRDefault="00D84C02" w:rsidP="000F1879">
            <w:pPr>
              <w:rPr>
                <w:sz w:val="22"/>
                <w:szCs w:val="22"/>
              </w:rPr>
            </w:pPr>
            <w:r w:rsidRPr="00AE6F84">
              <w:rPr>
                <w:sz w:val="22"/>
                <w:szCs w:val="22"/>
              </w:rPr>
              <w:t>£1,643.14</w:t>
            </w:r>
          </w:p>
        </w:tc>
        <w:tc>
          <w:tcPr>
            <w:tcW w:w="1560" w:type="dxa"/>
          </w:tcPr>
          <w:p w14:paraId="7A3EA0B3" w14:textId="77777777" w:rsidR="00D84C02" w:rsidRPr="00AE6F84" w:rsidRDefault="00D84C02" w:rsidP="000F1879">
            <w:pPr>
              <w:rPr>
                <w:sz w:val="22"/>
                <w:szCs w:val="22"/>
              </w:rPr>
            </w:pPr>
            <w:r w:rsidRPr="00AE6F84">
              <w:rPr>
                <w:sz w:val="22"/>
                <w:szCs w:val="22"/>
              </w:rPr>
              <w:t>£17,195.71</w:t>
            </w:r>
          </w:p>
        </w:tc>
      </w:tr>
      <w:tr w:rsidR="00D84C02" w:rsidRPr="00AE6F84" w14:paraId="1C33C932" w14:textId="77777777" w:rsidTr="000F1879">
        <w:tc>
          <w:tcPr>
            <w:tcW w:w="1294" w:type="dxa"/>
          </w:tcPr>
          <w:p w14:paraId="7AF3FBB0" w14:textId="77777777" w:rsidR="00D84C02" w:rsidRPr="00AE6F84" w:rsidRDefault="00D84C02" w:rsidP="000F1879">
            <w:pPr>
              <w:rPr>
                <w:b/>
                <w:bCs/>
                <w:sz w:val="22"/>
                <w:szCs w:val="22"/>
              </w:rPr>
            </w:pPr>
            <w:r w:rsidRPr="00AE6F84">
              <w:rPr>
                <w:b/>
                <w:bCs/>
                <w:sz w:val="22"/>
                <w:szCs w:val="22"/>
              </w:rPr>
              <w:t>Severe</w:t>
            </w:r>
          </w:p>
        </w:tc>
        <w:tc>
          <w:tcPr>
            <w:tcW w:w="2249" w:type="dxa"/>
          </w:tcPr>
          <w:p w14:paraId="7D0B998D" w14:textId="77777777" w:rsidR="00D84C02" w:rsidRPr="00AE6F84" w:rsidRDefault="00D84C02" w:rsidP="000F1879">
            <w:pPr>
              <w:rPr>
                <w:sz w:val="22"/>
                <w:szCs w:val="22"/>
              </w:rPr>
            </w:pPr>
            <w:r w:rsidRPr="00AE6F84">
              <w:rPr>
                <w:sz w:val="22"/>
                <w:szCs w:val="22"/>
              </w:rPr>
              <w:t>£7,668.60</w:t>
            </w:r>
          </w:p>
        </w:tc>
        <w:tc>
          <w:tcPr>
            <w:tcW w:w="1282" w:type="dxa"/>
          </w:tcPr>
          <w:p w14:paraId="410EB7EC" w14:textId="77777777" w:rsidR="00D84C02" w:rsidRPr="00AE6F84" w:rsidRDefault="00D84C02" w:rsidP="000F1879">
            <w:pPr>
              <w:rPr>
                <w:sz w:val="22"/>
                <w:szCs w:val="22"/>
              </w:rPr>
            </w:pPr>
            <w:r w:rsidRPr="00AE6F84">
              <w:rPr>
                <w:sz w:val="22"/>
                <w:szCs w:val="22"/>
              </w:rPr>
              <w:t>£31,523.39</w:t>
            </w:r>
          </w:p>
        </w:tc>
        <w:tc>
          <w:tcPr>
            <w:tcW w:w="1255" w:type="dxa"/>
          </w:tcPr>
          <w:p w14:paraId="6CB2C2C1" w14:textId="77777777" w:rsidR="00D84C02" w:rsidRPr="00AE6F84" w:rsidRDefault="00D84C02" w:rsidP="000F1879">
            <w:pPr>
              <w:rPr>
                <w:sz w:val="22"/>
                <w:szCs w:val="22"/>
              </w:rPr>
            </w:pPr>
            <w:r w:rsidRPr="00AE6F84">
              <w:rPr>
                <w:sz w:val="22"/>
                <w:szCs w:val="22"/>
              </w:rPr>
              <w:t>£39,191.99</w:t>
            </w:r>
          </w:p>
        </w:tc>
        <w:tc>
          <w:tcPr>
            <w:tcW w:w="2284" w:type="dxa"/>
          </w:tcPr>
          <w:p w14:paraId="20E66724" w14:textId="77777777" w:rsidR="00D84C02" w:rsidRPr="00AE6F84" w:rsidRDefault="00D84C02" w:rsidP="000F1879">
            <w:pPr>
              <w:rPr>
                <w:sz w:val="22"/>
                <w:szCs w:val="22"/>
              </w:rPr>
            </w:pPr>
            <w:r w:rsidRPr="00AE6F84">
              <w:rPr>
                <w:sz w:val="22"/>
                <w:szCs w:val="22"/>
              </w:rPr>
              <w:t>£53,084.13</w:t>
            </w:r>
          </w:p>
        </w:tc>
        <w:tc>
          <w:tcPr>
            <w:tcW w:w="1275" w:type="dxa"/>
          </w:tcPr>
          <w:p w14:paraId="420FA1D3" w14:textId="77777777" w:rsidR="00D84C02" w:rsidRPr="00AE6F84" w:rsidRDefault="00D84C02" w:rsidP="000F1879">
            <w:pPr>
              <w:rPr>
                <w:sz w:val="22"/>
                <w:szCs w:val="22"/>
              </w:rPr>
            </w:pPr>
            <w:r w:rsidRPr="00AE6F84">
              <w:rPr>
                <w:sz w:val="22"/>
                <w:szCs w:val="22"/>
              </w:rPr>
              <w:t>£501.88</w:t>
            </w:r>
          </w:p>
        </w:tc>
        <w:tc>
          <w:tcPr>
            <w:tcW w:w="1560" w:type="dxa"/>
          </w:tcPr>
          <w:p w14:paraId="6CBFFC02" w14:textId="77777777" w:rsidR="00D84C02" w:rsidRPr="00AE6F84" w:rsidRDefault="00D84C02" w:rsidP="000F1879">
            <w:pPr>
              <w:rPr>
                <w:sz w:val="22"/>
                <w:szCs w:val="22"/>
              </w:rPr>
            </w:pPr>
            <w:r w:rsidRPr="00AE6F84">
              <w:rPr>
                <w:sz w:val="22"/>
                <w:szCs w:val="22"/>
              </w:rPr>
              <w:t>£53,586.01</w:t>
            </w:r>
          </w:p>
        </w:tc>
      </w:tr>
    </w:tbl>
    <w:p w14:paraId="09BA4F5F" w14:textId="452076EE" w:rsidR="00D84C02" w:rsidRPr="00AE6F84" w:rsidRDefault="00D84C02" w:rsidP="00D84C02">
      <w:r w:rsidRPr="00AE6F84">
        <w:rPr>
          <w:b/>
          <w:bCs/>
        </w:rPr>
        <w:t xml:space="preserve">Table </w:t>
      </w:r>
      <w:r w:rsidR="00B10679">
        <w:rPr>
          <w:b/>
          <w:bCs/>
        </w:rPr>
        <w:t>2</w:t>
      </w:r>
      <w:r w:rsidRPr="00AE6F84">
        <w:rPr>
          <w:b/>
          <w:bCs/>
        </w:rPr>
        <w:t xml:space="preserve"> </w:t>
      </w:r>
      <w:r w:rsidRPr="00AE6F84">
        <w:t>Yearly costs by dementia stage by living setting (£)</w:t>
      </w:r>
    </w:p>
    <w:p w14:paraId="4B839892" w14:textId="77777777" w:rsidR="00D84C02" w:rsidRPr="00AE6F84" w:rsidRDefault="00D84C02" w:rsidP="00D84C02">
      <w:pPr>
        <w:rPr>
          <w:b/>
          <w:bCs/>
        </w:rPr>
      </w:pPr>
    </w:p>
    <w:p w14:paraId="12810790" w14:textId="31D09A5D" w:rsidR="00D84C02" w:rsidRPr="00AE6F84" w:rsidRDefault="00CB769F" w:rsidP="00D84C02">
      <w:pPr>
        <w:rPr>
          <w:b/>
          <w:bCs/>
        </w:rPr>
      </w:pPr>
      <w:r w:rsidRPr="00CB769F">
        <w:rPr>
          <w:b/>
          <w:bCs/>
          <w:noProof/>
        </w:rPr>
        <w:lastRenderedPageBreak/>
        <w:drawing>
          <wp:inline distT="0" distB="0" distL="0" distR="0" wp14:anchorId="2ABEA79F" wp14:editId="46518A24">
            <wp:extent cx="6355594" cy="2020186"/>
            <wp:effectExtent l="0" t="0" r="7620" b="0"/>
            <wp:docPr id="9880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8494" name=""/>
                    <pic:cNvPicPr/>
                  </pic:nvPicPr>
                  <pic:blipFill>
                    <a:blip r:embed="rId4"/>
                    <a:stretch>
                      <a:fillRect/>
                    </a:stretch>
                  </pic:blipFill>
                  <pic:spPr>
                    <a:xfrm>
                      <a:off x="0" y="0"/>
                      <a:ext cx="6373875" cy="2025997"/>
                    </a:xfrm>
                    <a:prstGeom prst="rect">
                      <a:avLst/>
                    </a:prstGeom>
                  </pic:spPr>
                </pic:pic>
              </a:graphicData>
            </a:graphic>
          </wp:inline>
        </w:drawing>
      </w:r>
    </w:p>
    <w:p w14:paraId="7B0BCFB7" w14:textId="665ACD3C" w:rsidR="00D84C02" w:rsidRPr="00AE6F84" w:rsidRDefault="00D84C02" w:rsidP="00D84C02">
      <w:r w:rsidRPr="00AE6F84">
        <w:rPr>
          <w:b/>
          <w:bCs/>
        </w:rPr>
        <w:t xml:space="preserve">Figure </w:t>
      </w:r>
      <w:r w:rsidR="00B10679">
        <w:rPr>
          <w:b/>
          <w:bCs/>
        </w:rPr>
        <w:t>1</w:t>
      </w:r>
      <w:r w:rsidRPr="00AE6F84">
        <w:rPr>
          <w:b/>
          <w:bCs/>
        </w:rPr>
        <w:t xml:space="preserve"> </w:t>
      </w:r>
      <w:r w:rsidRPr="00AE6F84">
        <w:t>Flowchart of care setting allocation</w:t>
      </w:r>
      <w:r w:rsidR="00631B2F">
        <w:t xml:space="preserve"> compared to Carnall Farrar 2024 report</w:t>
      </w:r>
    </w:p>
    <w:p w14:paraId="0F2C865C" w14:textId="77777777" w:rsidR="00D84C02" w:rsidRPr="00AE6F84" w:rsidRDefault="00D84C02" w:rsidP="00D84C02">
      <w:pPr>
        <w:rPr>
          <w:b/>
          <w:bCs/>
        </w:rPr>
      </w:pPr>
    </w:p>
    <w:p w14:paraId="3A2B3A09" w14:textId="77777777" w:rsidR="00D84C02" w:rsidRPr="00AE6F84" w:rsidRDefault="00D84C02" w:rsidP="00D84C02">
      <w:pPr>
        <w:rPr>
          <w:b/>
          <w:bCs/>
        </w:rPr>
      </w:pPr>
      <w:r w:rsidRPr="00AE6F84">
        <w:rPr>
          <w:b/>
          <w:bCs/>
        </w:rPr>
        <w:t>Outcomes</w:t>
      </w:r>
    </w:p>
    <w:p w14:paraId="275E311B" w14:textId="267052D8" w:rsidR="00D84C02" w:rsidRPr="00AE6F84" w:rsidRDefault="00D84C02" w:rsidP="00D84C02">
      <w:r w:rsidRPr="00AE6F84">
        <w:t xml:space="preserve">Differences in dementia incidence and prevalence over time were estimated under each PD prevalence scenario and compared. The model estimated the costs and QALYs attached with dementia, reported year-by-year and cumulatively. Costs were categorised by formal care giving and informal care costs. QALYs were aggregated by </w:t>
      </w:r>
      <w:r w:rsidR="006E35D2">
        <w:t xml:space="preserve">whole population (including individuals with dementia) </w:t>
      </w:r>
      <w:r w:rsidRPr="00AE6F84">
        <w:t xml:space="preserve">and informal home caregivers. This allowed for the comparison of total and annual cost savings, QALYs, and cost savings per dementia case avoided, between the differences in PD prevalence runs. </w:t>
      </w:r>
    </w:p>
    <w:p w14:paraId="638E975F" w14:textId="77777777" w:rsidR="00D84C02" w:rsidRPr="00AE6F84" w:rsidRDefault="00D84C02" w:rsidP="00D84C02">
      <w:pPr>
        <w:rPr>
          <w:b/>
          <w:bCs/>
        </w:rPr>
      </w:pPr>
    </w:p>
    <w:p w14:paraId="70520B0C" w14:textId="77777777" w:rsidR="00D84C02" w:rsidRPr="00AE6F84" w:rsidRDefault="00D84C02" w:rsidP="00D84C02">
      <w:pPr>
        <w:rPr>
          <w:b/>
          <w:bCs/>
        </w:rPr>
      </w:pPr>
      <w:r w:rsidRPr="00AE6F84">
        <w:rPr>
          <w:b/>
          <w:bCs/>
        </w:rPr>
        <w:t>Sensitivity analysis</w:t>
      </w:r>
    </w:p>
    <w:p w14:paraId="167ECF03" w14:textId="4346BB26" w:rsidR="00D84C02" w:rsidRPr="00AE6F84" w:rsidRDefault="00D84C02" w:rsidP="00D84C02">
      <w:r w:rsidRPr="00AE6F84">
        <w:t>We conducted probabilistic sensitivity analysis (PSA) with 500 Monte Carlo iterations for 1% of the target population (n = 107,874), sampling uncertain parameters from probability distributions (sampling costs with the gamma distribution, utilities and probabilities with beta, and risk HRs with lognormal from CIs; relative SD = 10%) [4</w:t>
      </w:r>
      <w:r w:rsidR="00702826">
        <w:t>1</w:t>
      </w:r>
      <w:r w:rsidRPr="00AE6F84">
        <w:t xml:space="preserve">]. The outcomes were then scaled back up by a factor of 100. This was due to the computational strain of sampling for the full population. Results are reported as means with 95% confidence intervals. </w:t>
      </w:r>
      <w:r w:rsidR="00A54313">
        <w:t xml:space="preserve">Coefficients of variation </w:t>
      </w:r>
      <w:r w:rsidR="00D92543">
        <w:t xml:space="preserve">((standard deviation / mean)*100) </w:t>
      </w:r>
      <w:r w:rsidR="00A54313">
        <w:t>are also reported.</w:t>
      </w:r>
    </w:p>
    <w:p w14:paraId="7B452390" w14:textId="47D3D41C" w:rsidR="00E977CF" w:rsidRDefault="00D84C02" w:rsidP="00EC47DC">
      <w:r w:rsidRPr="00AE6F84">
        <w:t xml:space="preserve">Deterministic one-way sensitivity analysis was conducted to specifically address the uncertainty surrounding PD’s impact on dementia onset using the published 95% CI bounds for PD </w:t>
      </w:r>
      <w:r w:rsidR="00342311">
        <w:t>HRs</w:t>
      </w:r>
      <w:r w:rsidRPr="00AE6F84">
        <w:t xml:space="preserve"> (</w:t>
      </w:r>
      <w:r w:rsidR="00342311" w:rsidRPr="00AE6F84">
        <w:t>1.07-1.38</w:t>
      </w:r>
      <w:r w:rsidR="00342311">
        <w:t xml:space="preserve"> </w:t>
      </w:r>
      <w:r w:rsidRPr="00AE6F84">
        <w:t xml:space="preserve">for onset). </w:t>
      </w:r>
      <w:r w:rsidR="00E87CD9">
        <w:t>We used</w:t>
      </w:r>
      <w:r w:rsidRPr="00AE6F84">
        <w:t xml:space="preserve"> 1</w:t>
      </w:r>
      <w:r w:rsidR="00E87CD9">
        <w:t>00</w:t>
      </w:r>
      <w:r w:rsidRPr="00AE6F84">
        <w:t>% of the total population</w:t>
      </w:r>
      <w:r w:rsidR="001673F8">
        <w:t>, with each lower and upper bound of the HR used for each PD prevalence run.</w:t>
      </w:r>
      <w:r w:rsidRPr="00AE6F84">
        <w:t xml:space="preserve"> </w:t>
      </w:r>
    </w:p>
    <w:p w14:paraId="00CF5AE9" w14:textId="77777777" w:rsidR="00E87CD9" w:rsidRPr="00AE6F84" w:rsidRDefault="00E87CD9" w:rsidP="00EC47DC"/>
    <w:p w14:paraId="099F9A84" w14:textId="7122EB37" w:rsidR="00E977CF" w:rsidRPr="00AE6F84" w:rsidRDefault="005460E8" w:rsidP="00DE3A1D">
      <w:pPr>
        <w:rPr>
          <w:b/>
          <w:bCs/>
          <w:sz w:val="28"/>
          <w:szCs w:val="28"/>
        </w:rPr>
      </w:pPr>
      <w:r w:rsidRPr="00AE6F84">
        <w:rPr>
          <w:b/>
          <w:bCs/>
          <w:sz w:val="28"/>
          <w:szCs w:val="28"/>
        </w:rPr>
        <w:t>Results</w:t>
      </w:r>
    </w:p>
    <w:p w14:paraId="0F4DDC3C" w14:textId="14BDFDE9" w:rsidR="00E977CF" w:rsidRPr="00AE6F84" w:rsidRDefault="00FC039A" w:rsidP="00DE3A1D">
      <w:pPr>
        <w:rPr>
          <w:b/>
          <w:bCs/>
        </w:rPr>
      </w:pPr>
      <w:r w:rsidRPr="00AE6F84">
        <w:rPr>
          <w:b/>
          <w:bCs/>
        </w:rPr>
        <w:lastRenderedPageBreak/>
        <w:t>Disease outcomes</w:t>
      </w:r>
    </w:p>
    <w:p w14:paraId="0CD76678" w14:textId="44FCF741" w:rsidR="00E977CF" w:rsidRPr="00AE6F84" w:rsidRDefault="00F25020" w:rsidP="00DE3A1D">
      <w:r w:rsidRPr="00AE6F84">
        <w:t xml:space="preserve">Over the </w:t>
      </w:r>
      <w:r w:rsidR="009353BA" w:rsidRPr="00AE6F84">
        <w:t xml:space="preserve">2024-2040 forecast period, cumulative dementia incidence at the current 50% PD </w:t>
      </w:r>
      <w:r w:rsidR="00825473" w:rsidRPr="00AE6F84">
        <w:t>incident onset</w:t>
      </w:r>
      <w:r w:rsidR="00E04DC5" w:rsidRPr="00AE6F84">
        <w:t xml:space="preserve"> totalled 2.80 million cases</w:t>
      </w:r>
      <w:r w:rsidR="00EA6EEE" w:rsidRPr="00AE6F84">
        <w:t>, with prevalence increasing by 32%</w:t>
      </w:r>
      <w:r w:rsidR="00B517DF" w:rsidRPr="00AE6F84">
        <w:t xml:space="preserve"> (Table </w:t>
      </w:r>
      <w:r w:rsidR="002609EB">
        <w:t>3</w:t>
      </w:r>
      <w:r w:rsidR="00B517DF" w:rsidRPr="00AE6F84">
        <w:t>)</w:t>
      </w:r>
      <w:r w:rsidR="00A8547A" w:rsidRPr="00AE6F84">
        <w:t>.</w:t>
      </w:r>
      <w:r w:rsidR="00B517DF" w:rsidRPr="00AE6F84">
        <w:t xml:space="preserve"> Reducing prevalence to 25% </w:t>
      </w:r>
      <w:r w:rsidR="00F033C8" w:rsidRPr="00AE6F84">
        <w:t>prevented 114,814 cases (</w:t>
      </w:r>
      <w:r w:rsidR="00507A3F" w:rsidRPr="00AE6F84">
        <w:t>4.1%</w:t>
      </w:r>
      <w:r w:rsidR="00E31246" w:rsidRPr="00AE6F84">
        <w:t xml:space="preserve"> reduction; </w:t>
      </w:r>
      <w:r w:rsidR="00F46882" w:rsidRPr="00AE6F84">
        <w:t xml:space="preserve">95% </w:t>
      </w:r>
      <w:r w:rsidR="00E31246" w:rsidRPr="00AE6F84">
        <w:t>CI</w:t>
      </w:r>
      <w:r w:rsidR="000746A2" w:rsidRPr="00AE6F84">
        <w:t>:</w:t>
      </w:r>
      <w:r w:rsidR="0065516D" w:rsidRPr="00AE6F84">
        <w:t>XX</w:t>
      </w:r>
      <w:r w:rsidR="00347E33" w:rsidRPr="00AE6F84">
        <w:t>), while the 75% deterioration scenario resulted in an additional 112,921</w:t>
      </w:r>
      <w:r w:rsidR="00F46882" w:rsidRPr="00AE6F84">
        <w:t xml:space="preserve"> cases (3.9% increase; 95% CI:</w:t>
      </w:r>
      <w:r w:rsidR="0065516D" w:rsidRPr="00AE6F84">
        <w:t>XX</w:t>
      </w:r>
      <w:r w:rsidR="00F46882" w:rsidRPr="00AE6F84">
        <w:t xml:space="preserve">) from baseline. </w:t>
      </w:r>
      <w:r w:rsidR="004B79B3" w:rsidRPr="00AE6F84">
        <w:t>In the baseline run, d</w:t>
      </w:r>
      <w:r w:rsidR="00F838C8" w:rsidRPr="00AE6F84">
        <w:t xml:space="preserve">ementia prevalence increased from </w:t>
      </w:r>
      <w:r w:rsidR="00E475C2" w:rsidRPr="00AE6F84">
        <w:t>7.95% in 2024 to 10.14% in 20</w:t>
      </w:r>
      <w:r w:rsidR="004B79B3" w:rsidRPr="00AE6F84">
        <w:t>40</w:t>
      </w:r>
      <w:r w:rsidR="00452BB2" w:rsidRPr="00AE6F84">
        <w:t xml:space="preserve">, primarily driven by </w:t>
      </w:r>
      <w:r w:rsidR="0060634C" w:rsidRPr="00AE6F84">
        <w:t xml:space="preserve">the ageing population. </w:t>
      </w:r>
      <w:r w:rsidR="00752DE7" w:rsidRPr="00AE6F84">
        <w:t xml:space="preserve">Annual dementia incidence </w:t>
      </w:r>
      <w:r w:rsidR="002D6203" w:rsidRPr="00AE6F84">
        <w:t xml:space="preserve">at </w:t>
      </w:r>
      <w:r w:rsidR="00E07DCF">
        <w:t>50% PD prevalence</w:t>
      </w:r>
      <w:r w:rsidR="002D6203" w:rsidRPr="00AE6F84">
        <w:t xml:space="preserve"> increased from 151,00</w:t>
      </w:r>
      <w:r w:rsidR="00F63513">
        <w:t>0</w:t>
      </w:r>
      <w:r w:rsidR="002D6203" w:rsidRPr="00AE6F84">
        <w:t xml:space="preserve"> cases in 2024, to 180,000 cases in 2040</w:t>
      </w:r>
      <w:r w:rsidR="00496F7E" w:rsidRPr="00AE6F84">
        <w:t>. The 25% intervention scenario consistently showed ~7,000 fewer annual cases</w:t>
      </w:r>
      <w:r w:rsidR="00C13D81" w:rsidRPr="00AE6F84">
        <w:t>, with the 75% deterioration scenario resulting in ~7,000 more annual cases.</w:t>
      </w:r>
      <w:r w:rsidR="00B81CFD" w:rsidRPr="00AE6F84">
        <w:t xml:space="preserve"> The </w:t>
      </w:r>
      <w:r w:rsidR="0076746C" w:rsidRPr="00AE6F84">
        <w:t xml:space="preserve">symmetric effects between both an increase and decreases demonstrate linear </w:t>
      </w:r>
      <w:r w:rsidR="00C24581" w:rsidRPr="00AE6F84">
        <w:t>dose-response in both directions from baseline.</w:t>
      </w:r>
    </w:p>
    <w:tbl>
      <w:tblPr>
        <w:tblStyle w:val="TableGrid"/>
        <w:tblpPr w:leftFromText="180" w:rightFromText="180" w:vertAnchor="text" w:horzAnchor="margin" w:tblpX="-720" w:tblpY="322"/>
        <w:tblW w:w="10490" w:type="dxa"/>
        <w:tblLook w:val="04A0" w:firstRow="1" w:lastRow="0" w:firstColumn="1" w:lastColumn="0" w:noHBand="0" w:noVBand="1"/>
      </w:tblPr>
      <w:tblGrid>
        <w:gridCol w:w="2974"/>
        <w:gridCol w:w="2254"/>
        <w:gridCol w:w="2569"/>
        <w:gridCol w:w="2693"/>
      </w:tblGrid>
      <w:tr w:rsidR="00AF758B" w:rsidRPr="00AE6F84" w14:paraId="4F46A748" w14:textId="77777777" w:rsidTr="00235268">
        <w:tc>
          <w:tcPr>
            <w:tcW w:w="2974" w:type="dxa"/>
          </w:tcPr>
          <w:p w14:paraId="687F8269" w14:textId="491D097F" w:rsidR="00AF758B" w:rsidRPr="00AE6F84" w:rsidRDefault="00AF758B" w:rsidP="00235268">
            <w:pPr>
              <w:rPr>
                <w:b/>
                <w:bCs/>
              </w:rPr>
            </w:pPr>
            <w:r w:rsidRPr="00AE6F84">
              <w:rPr>
                <w:b/>
                <w:bCs/>
              </w:rPr>
              <w:t>Outcome</w:t>
            </w:r>
          </w:p>
        </w:tc>
        <w:tc>
          <w:tcPr>
            <w:tcW w:w="2254" w:type="dxa"/>
          </w:tcPr>
          <w:p w14:paraId="7EBAE629" w14:textId="3AE7CEA6" w:rsidR="00CA3DDC" w:rsidRPr="00AE6F84" w:rsidRDefault="00AF758B" w:rsidP="00235268">
            <w:pPr>
              <w:rPr>
                <w:b/>
                <w:bCs/>
              </w:rPr>
            </w:pPr>
            <w:r w:rsidRPr="00AE6F84">
              <w:rPr>
                <w:b/>
                <w:bCs/>
              </w:rPr>
              <w:t>25% PD</w:t>
            </w:r>
          </w:p>
        </w:tc>
        <w:tc>
          <w:tcPr>
            <w:tcW w:w="2569" w:type="dxa"/>
          </w:tcPr>
          <w:p w14:paraId="7C7D6B3F" w14:textId="77777777" w:rsidR="00AF758B" w:rsidRPr="00AE6F84" w:rsidRDefault="00CA3DDC" w:rsidP="00235268">
            <w:pPr>
              <w:rPr>
                <w:b/>
                <w:bCs/>
              </w:rPr>
            </w:pPr>
            <w:r w:rsidRPr="00AE6F84">
              <w:rPr>
                <w:b/>
                <w:bCs/>
              </w:rPr>
              <w:t>50% PD</w:t>
            </w:r>
          </w:p>
          <w:p w14:paraId="631CA1F0" w14:textId="125EC56F" w:rsidR="00CA3DDC" w:rsidRPr="00AE6F84" w:rsidRDefault="00CA3DDC" w:rsidP="00235268">
            <w:pPr>
              <w:rPr>
                <w:b/>
                <w:bCs/>
              </w:rPr>
            </w:pPr>
            <w:r w:rsidRPr="00AE6F84">
              <w:rPr>
                <w:b/>
                <w:bCs/>
              </w:rPr>
              <w:t>(Baseline)</w:t>
            </w:r>
          </w:p>
        </w:tc>
        <w:tc>
          <w:tcPr>
            <w:tcW w:w="2693" w:type="dxa"/>
          </w:tcPr>
          <w:p w14:paraId="5C7D5585" w14:textId="5D0494B8" w:rsidR="00AF758B" w:rsidRPr="00AE6F84" w:rsidRDefault="00CA3DDC" w:rsidP="00235268">
            <w:pPr>
              <w:rPr>
                <w:b/>
                <w:bCs/>
              </w:rPr>
            </w:pPr>
            <w:r w:rsidRPr="00AE6F84">
              <w:rPr>
                <w:b/>
                <w:bCs/>
              </w:rPr>
              <w:t>75% PD</w:t>
            </w:r>
          </w:p>
        </w:tc>
      </w:tr>
      <w:tr w:rsidR="00BF0B04" w:rsidRPr="00AE6F84" w14:paraId="3536463F" w14:textId="77777777" w:rsidTr="006C5A47">
        <w:tc>
          <w:tcPr>
            <w:tcW w:w="10490" w:type="dxa"/>
            <w:gridSpan w:val="4"/>
          </w:tcPr>
          <w:p w14:paraId="1A5E7835" w14:textId="61A0C716" w:rsidR="00BF0B04" w:rsidRPr="00AE6F84" w:rsidRDefault="00BF0B04" w:rsidP="00BF0B04">
            <w:r w:rsidRPr="00AE6F84">
              <w:rPr>
                <w:b/>
                <w:bCs/>
              </w:rPr>
              <w:t>Dementia Burden</w:t>
            </w:r>
          </w:p>
        </w:tc>
      </w:tr>
      <w:tr w:rsidR="00AF758B" w:rsidRPr="00AE6F84" w14:paraId="2200B33F" w14:textId="77777777" w:rsidTr="00235268">
        <w:tc>
          <w:tcPr>
            <w:tcW w:w="2974" w:type="dxa"/>
          </w:tcPr>
          <w:p w14:paraId="7E31B32D" w14:textId="5D1A1348" w:rsidR="00AF758B" w:rsidRPr="00AE6F84" w:rsidRDefault="00CA3DDC" w:rsidP="00235268">
            <w:pPr>
              <w:jc w:val="right"/>
              <w:rPr>
                <w:b/>
                <w:bCs/>
                <w:i/>
                <w:iCs/>
              </w:rPr>
            </w:pPr>
            <w:r w:rsidRPr="00AE6F84">
              <w:rPr>
                <w:b/>
                <w:bCs/>
                <w:i/>
                <w:iCs/>
              </w:rPr>
              <w:t>Total incident cases</w:t>
            </w:r>
          </w:p>
        </w:tc>
        <w:tc>
          <w:tcPr>
            <w:tcW w:w="2254" w:type="dxa"/>
          </w:tcPr>
          <w:p w14:paraId="53B3D2D0" w14:textId="670DCC85" w:rsidR="00AF758B" w:rsidRPr="00AE6F84" w:rsidRDefault="00B76328" w:rsidP="006C5EA2">
            <w:pPr>
              <w:jc w:val="center"/>
            </w:pPr>
            <w:r w:rsidRPr="00AE6F84">
              <w:t>2,516,334</w:t>
            </w:r>
          </w:p>
        </w:tc>
        <w:tc>
          <w:tcPr>
            <w:tcW w:w="2569" w:type="dxa"/>
          </w:tcPr>
          <w:p w14:paraId="34AB4D01" w14:textId="6F32A136" w:rsidR="00AF758B" w:rsidRPr="00AE6F84" w:rsidRDefault="004E6948" w:rsidP="006C5EA2">
            <w:pPr>
              <w:jc w:val="center"/>
            </w:pPr>
            <w:r w:rsidRPr="00AE6F84">
              <w:t>2,804,596</w:t>
            </w:r>
          </w:p>
        </w:tc>
        <w:tc>
          <w:tcPr>
            <w:tcW w:w="2693" w:type="dxa"/>
          </w:tcPr>
          <w:p w14:paraId="2AB5F83B" w14:textId="7732CC48" w:rsidR="00AF758B" w:rsidRPr="00AE6F84" w:rsidRDefault="00811C92" w:rsidP="006C5EA2">
            <w:pPr>
              <w:jc w:val="center"/>
            </w:pPr>
            <w:r w:rsidRPr="00AE6F84">
              <w:t>2,917,517</w:t>
            </w:r>
          </w:p>
        </w:tc>
      </w:tr>
      <w:tr w:rsidR="00AF758B" w:rsidRPr="00AE6F84" w14:paraId="5A08E7D0" w14:textId="77777777" w:rsidTr="00235268">
        <w:tc>
          <w:tcPr>
            <w:tcW w:w="2974" w:type="dxa"/>
          </w:tcPr>
          <w:p w14:paraId="66B760FA" w14:textId="3F3379F8" w:rsidR="00AF758B" w:rsidRPr="00AE6F84" w:rsidRDefault="005D0C75" w:rsidP="00235268">
            <w:pPr>
              <w:jc w:val="right"/>
              <w:rPr>
                <w:b/>
                <w:bCs/>
                <w:i/>
                <w:iCs/>
              </w:rPr>
            </w:pPr>
            <w:r w:rsidRPr="00AE6F84">
              <w:rPr>
                <w:b/>
                <w:bCs/>
                <w:i/>
                <w:iCs/>
              </w:rPr>
              <w:t>2024-2040 difference</w:t>
            </w:r>
          </w:p>
          <w:p w14:paraId="0FE93A20" w14:textId="40719A39" w:rsidR="00CA3DDC" w:rsidRPr="00AE6F84" w:rsidRDefault="00CA3DDC" w:rsidP="00235268">
            <w:pPr>
              <w:jc w:val="right"/>
              <w:rPr>
                <w:b/>
                <w:bCs/>
                <w:i/>
                <w:iCs/>
              </w:rPr>
            </w:pPr>
            <w:r w:rsidRPr="00AE6F84">
              <w:rPr>
                <w:b/>
                <w:bCs/>
                <w:i/>
                <w:iCs/>
              </w:rPr>
              <w:t>(% change)</w:t>
            </w:r>
          </w:p>
        </w:tc>
        <w:tc>
          <w:tcPr>
            <w:tcW w:w="2254" w:type="dxa"/>
          </w:tcPr>
          <w:p w14:paraId="0167A6FC" w14:textId="031F64AA" w:rsidR="00AF758B" w:rsidRPr="00AE6F84" w:rsidRDefault="00D1291D" w:rsidP="006C5EA2">
            <w:pPr>
              <w:jc w:val="center"/>
            </w:pPr>
            <w:r w:rsidRPr="00AE6F84">
              <w:t>21</w:t>
            </w:r>
          </w:p>
        </w:tc>
        <w:tc>
          <w:tcPr>
            <w:tcW w:w="2569" w:type="dxa"/>
          </w:tcPr>
          <w:p w14:paraId="007DBE5C" w14:textId="607E5DD0" w:rsidR="00AF758B" w:rsidRPr="00AE6F84" w:rsidRDefault="004E6948" w:rsidP="006C5EA2">
            <w:pPr>
              <w:jc w:val="center"/>
            </w:pPr>
            <w:r w:rsidRPr="00AE6F84">
              <w:t>19</w:t>
            </w:r>
          </w:p>
        </w:tc>
        <w:tc>
          <w:tcPr>
            <w:tcW w:w="2693" w:type="dxa"/>
          </w:tcPr>
          <w:p w14:paraId="72FC745C" w14:textId="42119905" w:rsidR="00AF758B" w:rsidRPr="00AE6F84" w:rsidRDefault="00811C92" w:rsidP="006C5EA2">
            <w:pPr>
              <w:jc w:val="center"/>
            </w:pPr>
            <w:r w:rsidRPr="00AE6F84">
              <w:t>18</w:t>
            </w:r>
          </w:p>
        </w:tc>
      </w:tr>
      <w:tr w:rsidR="00AF758B" w:rsidRPr="00AE6F84" w14:paraId="14FB2DA8" w14:textId="77777777" w:rsidTr="00235268">
        <w:tc>
          <w:tcPr>
            <w:tcW w:w="2974" w:type="dxa"/>
          </w:tcPr>
          <w:p w14:paraId="22B207EE" w14:textId="1E7F3448" w:rsidR="00AF758B" w:rsidRPr="00AE6F84" w:rsidRDefault="00CA3DDC" w:rsidP="00235268">
            <w:pPr>
              <w:jc w:val="right"/>
              <w:rPr>
                <w:b/>
                <w:bCs/>
                <w:i/>
                <w:iCs/>
              </w:rPr>
            </w:pPr>
            <w:r w:rsidRPr="00AE6F84">
              <w:rPr>
                <w:b/>
                <w:bCs/>
                <w:i/>
                <w:iCs/>
              </w:rPr>
              <w:t>Final prevalence (2040)</w:t>
            </w:r>
          </w:p>
        </w:tc>
        <w:tc>
          <w:tcPr>
            <w:tcW w:w="2254" w:type="dxa"/>
          </w:tcPr>
          <w:p w14:paraId="22E7087C" w14:textId="11ED70C0" w:rsidR="00AF758B" w:rsidRPr="00AE6F84" w:rsidRDefault="00D1291D" w:rsidP="006C5EA2">
            <w:pPr>
              <w:jc w:val="center"/>
            </w:pPr>
            <w:r w:rsidRPr="00AE6F84">
              <w:t>1,098,064</w:t>
            </w:r>
          </w:p>
        </w:tc>
        <w:tc>
          <w:tcPr>
            <w:tcW w:w="2569" w:type="dxa"/>
          </w:tcPr>
          <w:p w14:paraId="143D3A6B" w14:textId="1258FFAC" w:rsidR="00AF758B" w:rsidRPr="00AE6F84" w:rsidRDefault="00712653" w:rsidP="006C5EA2">
            <w:pPr>
              <w:jc w:val="center"/>
            </w:pPr>
            <w:r w:rsidRPr="00AE6F84">
              <w:t>1,140,670</w:t>
            </w:r>
          </w:p>
        </w:tc>
        <w:tc>
          <w:tcPr>
            <w:tcW w:w="2693" w:type="dxa"/>
          </w:tcPr>
          <w:p w14:paraId="0BF6C549" w14:textId="6E84D55E" w:rsidR="00AF758B" w:rsidRPr="00AE6F84" w:rsidRDefault="00811C92" w:rsidP="006C5EA2">
            <w:pPr>
              <w:jc w:val="center"/>
            </w:pPr>
            <w:r w:rsidRPr="00AE6F84">
              <w:t>1,186,110</w:t>
            </w:r>
          </w:p>
        </w:tc>
      </w:tr>
      <w:tr w:rsidR="00837382" w:rsidRPr="00AE6F84" w14:paraId="06D415E2" w14:textId="77777777" w:rsidTr="00235268">
        <w:tc>
          <w:tcPr>
            <w:tcW w:w="2974" w:type="dxa"/>
          </w:tcPr>
          <w:p w14:paraId="5E7A7A8E" w14:textId="77777777" w:rsidR="00837382" w:rsidRPr="00AE6F84" w:rsidRDefault="00837382" w:rsidP="00837382">
            <w:pPr>
              <w:jc w:val="right"/>
              <w:rPr>
                <w:b/>
                <w:bCs/>
                <w:i/>
                <w:iCs/>
              </w:rPr>
            </w:pPr>
            <w:r w:rsidRPr="00AE6F84">
              <w:rPr>
                <w:b/>
                <w:bCs/>
                <w:i/>
                <w:iCs/>
              </w:rPr>
              <w:t>2024-2040 difference</w:t>
            </w:r>
          </w:p>
          <w:p w14:paraId="2D377748" w14:textId="2F76C6B3" w:rsidR="00837382" w:rsidRPr="00AE6F84" w:rsidRDefault="00837382" w:rsidP="00837382">
            <w:pPr>
              <w:jc w:val="right"/>
              <w:rPr>
                <w:b/>
                <w:bCs/>
                <w:i/>
                <w:iCs/>
              </w:rPr>
            </w:pPr>
            <w:r w:rsidRPr="00AE6F84">
              <w:rPr>
                <w:b/>
                <w:bCs/>
                <w:i/>
                <w:iCs/>
              </w:rPr>
              <w:t>(% change)</w:t>
            </w:r>
          </w:p>
        </w:tc>
        <w:tc>
          <w:tcPr>
            <w:tcW w:w="2254" w:type="dxa"/>
          </w:tcPr>
          <w:p w14:paraId="43E7E1B1" w14:textId="28E49BD7" w:rsidR="00837382" w:rsidRPr="00AE6F84" w:rsidRDefault="00C57A07" w:rsidP="006C5EA2">
            <w:pPr>
              <w:jc w:val="center"/>
            </w:pPr>
            <w:r w:rsidRPr="00AE6F84">
              <w:t>29</w:t>
            </w:r>
          </w:p>
        </w:tc>
        <w:tc>
          <w:tcPr>
            <w:tcW w:w="2569" w:type="dxa"/>
          </w:tcPr>
          <w:p w14:paraId="31CA29A7" w14:textId="078FB34A" w:rsidR="00837382" w:rsidRPr="00AE6F84" w:rsidRDefault="00592795" w:rsidP="006C5EA2">
            <w:pPr>
              <w:jc w:val="center"/>
            </w:pPr>
            <w:r w:rsidRPr="00AE6F84">
              <w:t>32</w:t>
            </w:r>
          </w:p>
        </w:tc>
        <w:tc>
          <w:tcPr>
            <w:tcW w:w="2693" w:type="dxa"/>
          </w:tcPr>
          <w:p w14:paraId="33ACCA27" w14:textId="0DEC5126" w:rsidR="00837382" w:rsidRPr="00AE6F84" w:rsidRDefault="00592795" w:rsidP="006C5EA2">
            <w:pPr>
              <w:jc w:val="center"/>
            </w:pPr>
            <w:r w:rsidRPr="00AE6F84">
              <w:t>37</w:t>
            </w:r>
          </w:p>
        </w:tc>
      </w:tr>
      <w:tr w:rsidR="00AF758B" w:rsidRPr="00AE6F84" w14:paraId="5576248B" w14:textId="77777777" w:rsidTr="00235268">
        <w:tc>
          <w:tcPr>
            <w:tcW w:w="2974" w:type="dxa"/>
          </w:tcPr>
          <w:p w14:paraId="031338FD" w14:textId="4844FEBB" w:rsidR="00AF758B" w:rsidRPr="00AE6F84" w:rsidRDefault="00CA3DDC" w:rsidP="00235268">
            <w:pPr>
              <w:jc w:val="right"/>
              <w:rPr>
                <w:b/>
                <w:bCs/>
                <w:i/>
                <w:iCs/>
              </w:rPr>
            </w:pPr>
            <w:r w:rsidRPr="00AE6F84">
              <w:rPr>
                <w:b/>
                <w:bCs/>
                <w:i/>
                <w:iCs/>
              </w:rPr>
              <w:t>Cases per 100,000 population</w:t>
            </w:r>
          </w:p>
        </w:tc>
        <w:tc>
          <w:tcPr>
            <w:tcW w:w="2254" w:type="dxa"/>
          </w:tcPr>
          <w:p w14:paraId="137DE2CF" w14:textId="7853C5F0" w:rsidR="00AF758B" w:rsidRPr="00AE6F84" w:rsidRDefault="00D1291D" w:rsidP="006C5EA2">
            <w:pPr>
              <w:jc w:val="center"/>
            </w:pPr>
            <w:r w:rsidRPr="00AE6F84">
              <w:t>24,089</w:t>
            </w:r>
          </w:p>
        </w:tc>
        <w:tc>
          <w:tcPr>
            <w:tcW w:w="2569" w:type="dxa"/>
          </w:tcPr>
          <w:p w14:paraId="5F72C8B6" w14:textId="40D223BC" w:rsidR="00AF758B" w:rsidRPr="00AE6F84" w:rsidRDefault="000D74D5" w:rsidP="006C5EA2">
            <w:pPr>
              <w:jc w:val="center"/>
            </w:pPr>
            <w:r w:rsidRPr="00AE6F84">
              <w:t>25,138</w:t>
            </w:r>
          </w:p>
        </w:tc>
        <w:tc>
          <w:tcPr>
            <w:tcW w:w="2693" w:type="dxa"/>
          </w:tcPr>
          <w:p w14:paraId="518AD0B9" w14:textId="17B38A14" w:rsidR="00AF758B" w:rsidRPr="00AE6F84" w:rsidRDefault="005E536A" w:rsidP="006C5EA2">
            <w:pPr>
              <w:jc w:val="center"/>
            </w:pPr>
            <w:r w:rsidRPr="00AE6F84">
              <w:t>26,164</w:t>
            </w:r>
          </w:p>
        </w:tc>
      </w:tr>
      <w:tr w:rsidR="00BF0B04" w:rsidRPr="00AE6F84" w14:paraId="29F4359A" w14:textId="77777777" w:rsidTr="0074633E">
        <w:tc>
          <w:tcPr>
            <w:tcW w:w="10490" w:type="dxa"/>
            <w:gridSpan w:val="4"/>
          </w:tcPr>
          <w:p w14:paraId="2BD87459" w14:textId="6315AC6F" w:rsidR="00BF0B04" w:rsidRPr="00AE6F84" w:rsidRDefault="00BF0B04" w:rsidP="00BF0B04">
            <w:r w:rsidRPr="00AE6F84">
              <w:rPr>
                <w:b/>
                <w:bCs/>
              </w:rPr>
              <w:t>Economic Outcomes</w:t>
            </w:r>
          </w:p>
        </w:tc>
      </w:tr>
      <w:tr w:rsidR="00CA3DDC" w:rsidRPr="00AE6F84" w14:paraId="6626A1E3" w14:textId="77777777" w:rsidTr="00235268">
        <w:tc>
          <w:tcPr>
            <w:tcW w:w="2974" w:type="dxa"/>
          </w:tcPr>
          <w:p w14:paraId="7E20A049" w14:textId="1BA7FC9A" w:rsidR="00CA3DDC" w:rsidRPr="00AE6F84" w:rsidRDefault="002E5356" w:rsidP="00235268">
            <w:pPr>
              <w:jc w:val="right"/>
              <w:rPr>
                <w:b/>
                <w:bCs/>
                <w:i/>
                <w:iCs/>
              </w:rPr>
            </w:pPr>
            <w:r w:rsidRPr="00AE6F84">
              <w:rPr>
                <w:b/>
                <w:bCs/>
                <w:i/>
                <w:iCs/>
              </w:rPr>
              <w:t>Total f</w:t>
            </w:r>
            <w:r w:rsidR="001A2FCF" w:rsidRPr="00AE6F84">
              <w:rPr>
                <w:b/>
                <w:bCs/>
                <w:i/>
                <w:iCs/>
              </w:rPr>
              <w:t xml:space="preserve">ormal </w:t>
            </w:r>
            <w:r w:rsidR="00C45E42" w:rsidRPr="00AE6F84">
              <w:rPr>
                <w:b/>
                <w:bCs/>
                <w:i/>
                <w:iCs/>
              </w:rPr>
              <w:t>costs (£bn)</w:t>
            </w:r>
          </w:p>
        </w:tc>
        <w:tc>
          <w:tcPr>
            <w:tcW w:w="2254" w:type="dxa"/>
          </w:tcPr>
          <w:p w14:paraId="44B20EB3" w14:textId="2FA787FC" w:rsidR="00CA3DDC" w:rsidRPr="00AE6F84" w:rsidRDefault="00E10BE4" w:rsidP="006C5EA2">
            <w:pPr>
              <w:jc w:val="center"/>
            </w:pPr>
            <w:r w:rsidRPr="00AE6F84">
              <w:t>340</w:t>
            </w:r>
            <w:r w:rsidR="00497FD5" w:rsidRPr="00AE6F84">
              <w:t>.57</w:t>
            </w:r>
          </w:p>
        </w:tc>
        <w:tc>
          <w:tcPr>
            <w:tcW w:w="2569" w:type="dxa"/>
          </w:tcPr>
          <w:p w14:paraId="7DEABE5E" w14:textId="3E37E652" w:rsidR="00CA3DDC" w:rsidRPr="00AE6F84" w:rsidRDefault="000D74D5" w:rsidP="006C5EA2">
            <w:pPr>
              <w:jc w:val="center"/>
            </w:pPr>
            <w:r w:rsidRPr="00AE6F84">
              <w:t>351.49</w:t>
            </w:r>
          </w:p>
        </w:tc>
        <w:tc>
          <w:tcPr>
            <w:tcW w:w="2693" w:type="dxa"/>
          </w:tcPr>
          <w:p w14:paraId="31961815" w14:textId="3AF5C0AA" w:rsidR="00CA3DDC" w:rsidRPr="00AE6F84" w:rsidRDefault="00F074BC" w:rsidP="006C5EA2">
            <w:pPr>
              <w:jc w:val="center"/>
            </w:pPr>
            <w:r w:rsidRPr="00AE6F84">
              <w:t>362.34</w:t>
            </w:r>
          </w:p>
        </w:tc>
      </w:tr>
      <w:tr w:rsidR="00CA3DDC" w:rsidRPr="00AE6F84" w14:paraId="04BB13F0" w14:textId="77777777" w:rsidTr="00235268">
        <w:tc>
          <w:tcPr>
            <w:tcW w:w="2974" w:type="dxa"/>
          </w:tcPr>
          <w:p w14:paraId="68DE6A6A" w14:textId="77777777" w:rsidR="005D0C75" w:rsidRPr="00AE6F84" w:rsidRDefault="005D0C75" w:rsidP="00235268">
            <w:pPr>
              <w:jc w:val="right"/>
              <w:rPr>
                <w:b/>
                <w:bCs/>
                <w:i/>
                <w:iCs/>
              </w:rPr>
            </w:pPr>
            <w:r w:rsidRPr="00AE6F84">
              <w:rPr>
                <w:b/>
                <w:bCs/>
                <w:i/>
                <w:iCs/>
              </w:rPr>
              <w:t xml:space="preserve">2024-2040 difference </w:t>
            </w:r>
          </w:p>
          <w:p w14:paraId="731D6D82" w14:textId="4FEA4178" w:rsidR="00C45E42" w:rsidRPr="00AE6F84" w:rsidRDefault="00C45E42" w:rsidP="00235268">
            <w:pPr>
              <w:jc w:val="right"/>
              <w:rPr>
                <w:b/>
                <w:bCs/>
                <w:i/>
                <w:iCs/>
              </w:rPr>
            </w:pPr>
            <w:r w:rsidRPr="00AE6F84">
              <w:rPr>
                <w:b/>
                <w:bCs/>
                <w:i/>
                <w:iCs/>
              </w:rPr>
              <w:t>(% change</w:t>
            </w:r>
            <w:r w:rsidR="002E5356" w:rsidRPr="00AE6F84">
              <w:rPr>
                <w:b/>
                <w:bCs/>
                <w:i/>
                <w:iCs/>
              </w:rPr>
              <w:t>, year-by-year</w:t>
            </w:r>
            <w:r w:rsidRPr="00AE6F84">
              <w:rPr>
                <w:b/>
                <w:bCs/>
                <w:i/>
                <w:iCs/>
              </w:rPr>
              <w:t>)</w:t>
            </w:r>
          </w:p>
        </w:tc>
        <w:tc>
          <w:tcPr>
            <w:tcW w:w="2254" w:type="dxa"/>
          </w:tcPr>
          <w:p w14:paraId="4AFF1195" w14:textId="48E6C4BF" w:rsidR="00CA3DDC" w:rsidRPr="00AE6F84" w:rsidRDefault="00497FD5" w:rsidP="006C5EA2">
            <w:pPr>
              <w:jc w:val="center"/>
            </w:pPr>
            <w:r w:rsidRPr="00AE6F84">
              <w:t>174</w:t>
            </w:r>
          </w:p>
        </w:tc>
        <w:tc>
          <w:tcPr>
            <w:tcW w:w="2569" w:type="dxa"/>
          </w:tcPr>
          <w:p w14:paraId="3652569F" w14:textId="1876329F" w:rsidR="00CA3DDC" w:rsidRPr="00AE6F84" w:rsidRDefault="00851135" w:rsidP="006C5EA2">
            <w:pPr>
              <w:jc w:val="center"/>
            </w:pPr>
            <w:r w:rsidRPr="00AE6F84">
              <w:t>1</w:t>
            </w:r>
            <w:r w:rsidR="00497FD5" w:rsidRPr="00AE6F84">
              <w:t>84</w:t>
            </w:r>
          </w:p>
        </w:tc>
        <w:tc>
          <w:tcPr>
            <w:tcW w:w="2693" w:type="dxa"/>
          </w:tcPr>
          <w:p w14:paraId="0FD1F545" w14:textId="694FFCF3" w:rsidR="00CA3DDC" w:rsidRPr="00AE6F84" w:rsidRDefault="00692AF4" w:rsidP="006C5EA2">
            <w:pPr>
              <w:jc w:val="center"/>
            </w:pPr>
            <w:r w:rsidRPr="00AE6F84">
              <w:t>193</w:t>
            </w:r>
          </w:p>
        </w:tc>
      </w:tr>
      <w:tr w:rsidR="00CA3DDC" w:rsidRPr="00AE6F84" w14:paraId="6B36FE35" w14:textId="77777777" w:rsidTr="00235268">
        <w:tc>
          <w:tcPr>
            <w:tcW w:w="2974" w:type="dxa"/>
          </w:tcPr>
          <w:p w14:paraId="6972D60C" w14:textId="3E0336CF" w:rsidR="00CA3DDC" w:rsidRPr="00AE6F84" w:rsidRDefault="002E5356" w:rsidP="00235268">
            <w:pPr>
              <w:jc w:val="right"/>
              <w:rPr>
                <w:b/>
                <w:bCs/>
                <w:i/>
                <w:iCs/>
              </w:rPr>
            </w:pPr>
            <w:r w:rsidRPr="00AE6F84">
              <w:rPr>
                <w:b/>
                <w:bCs/>
                <w:i/>
                <w:iCs/>
              </w:rPr>
              <w:t>Total i</w:t>
            </w:r>
            <w:r w:rsidR="00C45E42" w:rsidRPr="00AE6F84">
              <w:rPr>
                <w:b/>
                <w:bCs/>
                <w:i/>
                <w:iCs/>
              </w:rPr>
              <w:t>nformal costs</w:t>
            </w:r>
          </w:p>
          <w:p w14:paraId="17F896B0" w14:textId="2B055DC5" w:rsidR="00C45E42" w:rsidRPr="00AE6F84" w:rsidRDefault="00C45E42" w:rsidP="00235268">
            <w:pPr>
              <w:jc w:val="right"/>
              <w:rPr>
                <w:b/>
                <w:bCs/>
                <w:i/>
                <w:iCs/>
              </w:rPr>
            </w:pPr>
            <w:r w:rsidRPr="00AE6F84">
              <w:rPr>
                <w:b/>
                <w:bCs/>
                <w:i/>
                <w:iCs/>
              </w:rPr>
              <w:t>(£bn)</w:t>
            </w:r>
          </w:p>
        </w:tc>
        <w:tc>
          <w:tcPr>
            <w:tcW w:w="2254" w:type="dxa"/>
          </w:tcPr>
          <w:p w14:paraId="36B98FC4" w14:textId="7DD4790D" w:rsidR="00CA3DDC" w:rsidRPr="00AE6F84" w:rsidRDefault="008B3552" w:rsidP="006C5EA2">
            <w:pPr>
              <w:jc w:val="center"/>
            </w:pPr>
            <w:r w:rsidRPr="00AE6F84">
              <w:t>268.13</w:t>
            </w:r>
          </w:p>
        </w:tc>
        <w:tc>
          <w:tcPr>
            <w:tcW w:w="2569" w:type="dxa"/>
          </w:tcPr>
          <w:p w14:paraId="07CD2407" w14:textId="597D2A7C" w:rsidR="00CA3DDC" w:rsidRPr="00AE6F84" w:rsidRDefault="00851135" w:rsidP="006C5EA2">
            <w:pPr>
              <w:jc w:val="center"/>
            </w:pPr>
            <w:r w:rsidRPr="00AE6F84">
              <w:t>276.94</w:t>
            </w:r>
          </w:p>
        </w:tc>
        <w:tc>
          <w:tcPr>
            <w:tcW w:w="2693" w:type="dxa"/>
          </w:tcPr>
          <w:p w14:paraId="63EBE181" w14:textId="237F7AD4" w:rsidR="00CA3DDC" w:rsidRPr="00AE6F84" w:rsidRDefault="00D06182" w:rsidP="006C5EA2">
            <w:pPr>
              <w:jc w:val="center"/>
            </w:pPr>
            <w:r w:rsidRPr="00AE6F84">
              <w:t>285.70</w:t>
            </w:r>
          </w:p>
        </w:tc>
      </w:tr>
      <w:tr w:rsidR="00CA3DDC" w:rsidRPr="00AE6F84" w14:paraId="3A9B38BD" w14:textId="77777777" w:rsidTr="00235268">
        <w:tc>
          <w:tcPr>
            <w:tcW w:w="2974" w:type="dxa"/>
          </w:tcPr>
          <w:p w14:paraId="3C15BA97" w14:textId="77777777" w:rsidR="00837382" w:rsidRPr="00AE6F84" w:rsidRDefault="005D0C75" w:rsidP="00235268">
            <w:pPr>
              <w:jc w:val="right"/>
              <w:rPr>
                <w:b/>
                <w:bCs/>
                <w:i/>
                <w:iCs/>
              </w:rPr>
            </w:pPr>
            <w:r w:rsidRPr="00AE6F84">
              <w:rPr>
                <w:b/>
                <w:bCs/>
                <w:i/>
                <w:iCs/>
              </w:rPr>
              <w:t xml:space="preserve">2024-2040 difference </w:t>
            </w:r>
          </w:p>
          <w:p w14:paraId="37C32A1F" w14:textId="75543F85" w:rsidR="00C45E42" w:rsidRPr="00AE6F84" w:rsidRDefault="00C45E42" w:rsidP="00235268">
            <w:pPr>
              <w:jc w:val="right"/>
              <w:rPr>
                <w:b/>
                <w:bCs/>
                <w:i/>
                <w:iCs/>
              </w:rPr>
            </w:pPr>
            <w:r w:rsidRPr="00AE6F84">
              <w:rPr>
                <w:b/>
                <w:bCs/>
                <w:i/>
                <w:iCs/>
              </w:rPr>
              <w:t>(% change</w:t>
            </w:r>
            <w:r w:rsidR="002E5356" w:rsidRPr="00AE6F84">
              <w:rPr>
                <w:b/>
                <w:bCs/>
                <w:i/>
                <w:iCs/>
              </w:rPr>
              <w:t>, year-by-year</w:t>
            </w:r>
            <w:r w:rsidRPr="00AE6F84">
              <w:rPr>
                <w:b/>
                <w:bCs/>
                <w:i/>
                <w:iCs/>
              </w:rPr>
              <w:t>)</w:t>
            </w:r>
          </w:p>
        </w:tc>
        <w:tc>
          <w:tcPr>
            <w:tcW w:w="2254" w:type="dxa"/>
          </w:tcPr>
          <w:p w14:paraId="5533AC45" w14:textId="16001712" w:rsidR="00CA3DDC" w:rsidRPr="00AE6F84" w:rsidRDefault="00263BC3" w:rsidP="006C5EA2">
            <w:pPr>
              <w:jc w:val="center"/>
            </w:pPr>
            <w:r w:rsidRPr="00AE6F84">
              <w:t>-12</w:t>
            </w:r>
          </w:p>
        </w:tc>
        <w:tc>
          <w:tcPr>
            <w:tcW w:w="2569" w:type="dxa"/>
          </w:tcPr>
          <w:p w14:paraId="3A64B812" w14:textId="7F28C7F5" w:rsidR="00CA3DDC" w:rsidRPr="00AE6F84" w:rsidRDefault="00EE68CB" w:rsidP="006C5EA2">
            <w:pPr>
              <w:jc w:val="center"/>
            </w:pPr>
            <w:r w:rsidRPr="00AE6F84">
              <w:t>-</w:t>
            </w:r>
            <w:r w:rsidR="00567668" w:rsidRPr="00AE6F84">
              <w:t>9</w:t>
            </w:r>
          </w:p>
        </w:tc>
        <w:tc>
          <w:tcPr>
            <w:tcW w:w="2693" w:type="dxa"/>
          </w:tcPr>
          <w:p w14:paraId="44F65EAF" w14:textId="170F0C23" w:rsidR="00CA3DDC" w:rsidRPr="00AE6F84" w:rsidRDefault="00D06182" w:rsidP="006C5EA2">
            <w:pPr>
              <w:jc w:val="center"/>
            </w:pPr>
            <w:r w:rsidRPr="00AE6F84">
              <w:t>-6</w:t>
            </w:r>
          </w:p>
        </w:tc>
      </w:tr>
      <w:tr w:rsidR="00BF0B04" w:rsidRPr="00AE6F84" w14:paraId="01B079EE" w14:textId="77777777" w:rsidTr="00EF7E76">
        <w:tc>
          <w:tcPr>
            <w:tcW w:w="10490" w:type="dxa"/>
            <w:gridSpan w:val="4"/>
          </w:tcPr>
          <w:p w14:paraId="03C041FF" w14:textId="13D57314" w:rsidR="00BF0B04" w:rsidRPr="00AE6F84" w:rsidRDefault="00BF0B04" w:rsidP="00BF0B04">
            <w:r w:rsidRPr="00AE6F84">
              <w:rPr>
                <w:b/>
                <w:bCs/>
              </w:rPr>
              <w:t>Health Utilities</w:t>
            </w:r>
          </w:p>
        </w:tc>
      </w:tr>
      <w:tr w:rsidR="00CA3DDC" w:rsidRPr="00AE6F84" w14:paraId="3BDB53C1" w14:textId="77777777" w:rsidTr="00235268">
        <w:tc>
          <w:tcPr>
            <w:tcW w:w="2974" w:type="dxa"/>
          </w:tcPr>
          <w:p w14:paraId="6A424BF7" w14:textId="459D6A89" w:rsidR="00CA3DDC" w:rsidRPr="00AE6F84" w:rsidRDefault="00732051" w:rsidP="00235268">
            <w:pPr>
              <w:jc w:val="right"/>
              <w:rPr>
                <w:b/>
                <w:bCs/>
                <w:i/>
                <w:iCs/>
              </w:rPr>
            </w:pPr>
            <w:r w:rsidRPr="00AE6F84">
              <w:rPr>
                <w:b/>
                <w:bCs/>
                <w:i/>
                <w:iCs/>
              </w:rPr>
              <w:t>Total p</w:t>
            </w:r>
            <w:r w:rsidR="009864D4" w:rsidRPr="00AE6F84">
              <w:rPr>
                <w:b/>
                <w:bCs/>
                <w:i/>
                <w:iCs/>
              </w:rPr>
              <w:t>opulation QALYs (</w:t>
            </w:r>
            <w:proofErr w:type="spellStart"/>
            <w:r w:rsidR="009864D4" w:rsidRPr="00AE6F84">
              <w:rPr>
                <w:b/>
                <w:bCs/>
                <w:i/>
                <w:iCs/>
              </w:rPr>
              <w:t>mn</w:t>
            </w:r>
            <w:proofErr w:type="spellEnd"/>
            <w:r w:rsidR="009864D4" w:rsidRPr="00AE6F84">
              <w:rPr>
                <w:b/>
                <w:bCs/>
                <w:i/>
                <w:iCs/>
              </w:rPr>
              <w:t>)</w:t>
            </w:r>
          </w:p>
        </w:tc>
        <w:tc>
          <w:tcPr>
            <w:tcW w:w="2254" w:type="dxa"/>
          </w:tcPr>
          <w:p w14:paraId="0C693EE4" w14:textId="4166C13C" w:rsidR="00CA3DDC" w:rsidRPr="00AE6F84" w:rsidRDefault="00567668" w:rsidP="006C5EA2">
            <w:pPr>
              <w:jc w:val="center"/>
            </w:pPr>
            <w:r w:rsidRPr="00AE6F84">
              <w:t>141.38</w:t>
            </w:r>
          </w:p>
        </w:tc>
        <w:tc>
          <w:tcPr>
            <w:tcW w:w="2569" w:type="dxa"/>
          </w:tcPr>
          <w:p w14:paraId="3C9E7A7C" w14:textId="36562ADB" w:rsidR="00CA3DDC" w:rsidRPr="00AE6F84" w:rsidRDefault="004B4F5F" w:rsidP="006C5EA2">
            <w:pPr>
              <w:jc w:val="center"/>
            </w:pPr>
            <w:r w:rsidRPr="00AE6F84">
              <w:t>141</w:t>
            </w:r>
            <w:r w:rsidR="00791DF1" w:rsidRPr="00AE6F84">
              <w:t>.22</w:t>
            </w:r>
          </w:p>
        </w:tc>
        <w:tc>
          <w:tcPr>
            <w:tcW w:w="2693" w:type="dxa"/>
          </w:tcPr>
          <w:p w14:paraId="26CDAFBB" w14:textId="0E932A3E" w:rsidR="00CA3DDC" w:rsidRPr="00AE6F84" w:rsidRDefault="00DD3795" w:rsidP="006C5EA2">
            <w:pPr>
              <w:jc w:val="center"/>
            </w:pPr>
            <w:r w:rsidRPr="00AE6F84">
              <w:t>141.05</w:t>
            </w:r>
          </w:p>
        </w:tc>
      </w:tr>
      <w:tr w:rsidR="00CA3DDC" w:rsidRPr="00AE6F84" w14:paraId="2302820C" w14:textId="77777777" w:rsidTr="00235268">
        <w:tc>
          <w:tcPr>
            <w:tcW w:w="2974" w:type="dxa"/>
          </w:tcPr>
          <w:p w14:paraId="6828DD24" w14:textId="034BF5D3" w:rsidR="00CA3DDC" w:rsidRPr="00AE6F84" w:rsidRDefault="00732051" w:rsidP="00235268">
            <w:pPr>
              <w:jc w:val="right"/>
              <w:rPr>
                <w:b/>
                <w:bCs/>
                <w:i/>
                <w:iCs/>
              </w:rPr>
            </w:pPr>
            <w:r w:rsidRPr="00AE6F84">
              <w:rPr>
                <w:b/>
                <w:bCs/>
                <w:i/>
                <w:iCs/>
              </w:rPr>
              <w:t>Total c</w:t>
            </w:r>
            <w:r w:rsidR="00635A89" w:rsidRPr="00AE6F84">
              <w:rPr>
                <w:b/>
                <w:bCs/>
                <w:i/>
                <w:iCs/>
              </w:rPr>
              <w:t>aregiver QALYs</w:t>
            </w:r>
          </w:p>
        </w:tc>
        <w:tc>
          <w:tcPr>
            <w:tcW w:w="2254" w:type="dxa"/>
          </w:tcPr>
          <w:p w14:paraId="02B8999B" w14:textId="12977BE4" w:rsidR="00CA3DDC" w:rsidRPr="00AE6F84" w:rsidRDefault="00567668" w:rsidP="006C5EA2">
            <w:pPr>
              <w:jc w:val="center"/>
            </w:pPr>
            <w:r w:rsidRPr="00AE6F84">
              <w:t>10.</w:t>
            </w:r>
            <w:r w:rsidR="00985246" w:rsidRPr="00AE6F84">
              <w:t>20</w:t>
            </w:r>
          </w:p>
        </w:tc>
        <w:tc>
          <w:tcPr>
            <w:tcW w:w="2569" w:type="dxa"/>
          </w:tcPr>
          <w:p w14:paraId="7EE97585" w14:textId="687CCF7B" w:rsidR="00CA3DDC" w:rsidRPr="00AE6F84" w:rsidRDefault="00791DF1" w:rsidP="006C5EA2">
            <w:pPr>
              <w:jc w:val="center"/>
            </w:pPr>
            <w:r w:rsidRPr="00AE6F84">
              <w:t>10.55</w:t>
            </w:r>
          </w:p>
        </w:tc>
        <w:tc>
          <w:tcPr>
            <w:tcW w:w="2693" w:type="dxa"/>
          </w:tcPr>
          <w:p w14:paraId="5D4E6195" w14:textId="6E209F01" w:rsidR="00CA3DDC" w:rsidRPr="00AE6F84" w:rsidRDefault="00DD3795" w:rsidP="006C5EA2">
            <w:pPr>
              <w:jc w:val="center"/>
            </w:pPr>
            <w:r w:rsidRPr="00AE6F84">
              <w:t>10.</w:t>
            </w:r>
            <w:r w:rsidR="00BF0B04" w:rsidRPr="00AE6F84">
              <w:t>90</w:t>
            </w:r>
          </w:p>
        </w:tc>
      </w:tr>
    </w:tbl>
    <w:p w14:paraId="5325D3A4" w14:textId="77777777" w:rsidR="007E49ED" w:rsidRPr="00AE6F84" w:rsidRDefault="007E49ED" w:rsidP="00DE3A1D"/>
    <w:p w14:paraId="2C2B92B4" w14:textId="2D5EA130" w:rsidR="007E49ED" w:rsidRPr="00AE6F84" w:rsidRDefault="004232B5" w:rsidP="00DE3A1D">
      <w:r w:rsidRPr="00AE6F84">
        <w:rPr>
          <w:b/>
          <w:bCs/>
        </w:rPr>
        <w:t>Table</w:t>
      </w:r>
      <w:r w:rsidR="00635A89" w:rsidRPr="00AE6F84">
        <w:rPr>
          <w:b/>
          <w:bCs/>
        </w:rPr>
        <w:t xml:space="preserve"> </w:t>
      </w:r>
      <w:r w:rsidR="002609EB">
        <w:rPr>
          <w:b/>
          <w:bCs/>
        </w:rPr>
        <w:t>3</w:t>
      </w:r>
      <w:r w:rsidR="00635A89" w:rsidRPr="00AE6F84">
        <w:rPr>
          <w:b/>
          <w:bCs/>
        </w:rPr>
        <w:t xml:space="preserve"> </w:t>
      </w:r>
      <w:r w:rsidR="0005121D" w:rsidRPr="00AE6F84">
        <w:t xml:space="preserve">Outcomes by scenario. PD = periodontal disease. </w:t>
      </w:r>
      <w:r w:rsidR="0006077C">
        <w:t>2024£ costs.</w:t>
      </w:r>
    </w:p>
    <w:p w14:paraId="26EA331C" w14:textId="77777777" w:rsidR="00AF758B" w:rsidRPr="00AE6F84" w:rsidRDefault="00AF758B" w:rsidP="00DE3A1D"/>
    <w:p w14:paraId="043507B9" w14:textId="29361ABE" w:rsidR="004232B5" w:rsidRPr="00AE6F84" w:rsidRDefault="00E07DCF" w:rsidP="00DE3A1D">
      <w:r w:rsidRPr="00AE6F84">
        <w:rPr>
          <w:b/>
          <w:bCs/>
          <w:noProof/>
        </w:rPr>
        <w:lastRenderedPageBreak/>
        <w:drawing>
          <wp:anchor distT="0" distB="0" distL="114300" distR="114300" simplePos="0" relativeHeight="251658240" behindDoc="0" locked="0" layoutInCell="1" allowOverlap="1" wp14:anchorId="0302B923" wp14:editId="3BCF7FD8">
            <wp:simplePos x="0" y="0"/>
            <wp:positionH relativeFrom="margin">
              <wp:align>center</wp:align>
            </wp:positionH>
            <wp:positionV relativeFrom="paragraph">
              <wp:posOffset>1291590</wp:posOffset>
            </wp:positionV>
            <wp:extent cx="7007607" cy="2708695"/>
            <wp:effectExtent l="0" t="0" r="3175" b="0"/>
            <wp:wrapTopAndBottom/>
            <wp:docPr id="802569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2543"/>
                    <a:stretch>
                      <a:fillRect/>
                    </a:stretch>
                  </pic:blipFill>
                  <pic:spPr bwMode="auto">
                    <a:xfrm>
                      <a:off x="0" y="0"/>
                      <a:ext cx="7007607" cy="27086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3823" w:rsidRPr="00AE6F84">
        <w:t xml:space="preserve">At 50% prevalence, </w:t>
      </w:r>
      <w:r w:rsidR="00812575" w:rsidRPr="00AE6F84">
        <w:t>PD is the most prevalent modifiable dementia risk factor in the model</w:t>
      </w:r>
      <w:r w:rsidR="00A64C68" w:rsidRPr="00AE6F84">
        <w:t xml:space="preserve">, but </w:t>
      </w:r>
      <w:r w:rsidR="004665AC" w:rsidRPr="00AE6F84">
        <w:t xml:space="preserve">showed </w:t>
      </w:r>
      <w:r w:rsidR="00A64C68" w:rsidRPr="00AE6F84">
        <w:t xml:space="preserve">only </w:t>
      </w:r>
      <w:r w:rsidR="004665AC" w:rsidRPr="00AE6F84">
        <w:t>8%</w:t>
      </w:r>
      <w:r w:rsidR="00FD6F95" w:rsidRPr="00AE6F84">
        <w:t xml:space="preserve"> enrichment in the dementia population</w:t>
      </w:r>
      <w:r w:rsidR="00E84469" w:rsidRPr="00AE6F84">
        <w:t xml:space="preserve"> compared to 65-76% for depression and diabetes</w:t>
      </w:r>
      <w:r>
        <w:t xml:space="preserve"> (Figure 2)</w:t>
      </w:r>
      <w:r w:rsidR="00812575" w:rsidRPr="00AE6F84">
        <w:t>.</w:t>
      </w:r>
      <w:r w:rsidR="00E84469" w:rsidRPr="00AE6F84">
        <w:t xml:space="preserve"> This is consistent with </w:t>
      </w:r>
      <w:r w:rsidR="00E13A9E" w:rsidRPr="00AE6F84">
        <w:t>PD’s modest HR (1.21 compared to 1.93</w:t>
      </w:r>
      <w:r w:rsidR="00105BE9" w:rsidRPr="00AE6F84">
        <w:t xml:space="preserve"> </w:t>
      </w:r>
      <w:r w:rsidR="001C37A8" w:rsidRPr="00AE6F84">
        <w:t xml:space="preserve">for depression and </w:t>
      </w:r>
      <w:r w:rsidR="00E13A9E" w:rsidRPr="00AE6F84">
        <w:t>2.06</w:t>
      </w:r>
      <w:r w:rsidR="001C37A8" w:rsidRPr="00AE6F84">
        <w:t xml:space="preserve"> for diabetes</w:t>
      </w:r>
      <w:r w:rsidR="00E13A9E" w:rsidRPr="00AE6F84">
        <w:t>)</w:t>
      </w:r>
      <w:r w:rsidR="004707EE" w:rsidRPr="00AE6F84">
        <w:t xml:space="preserve">. </w:t>
      </w:r>
      <w:r w:rsidR="001C7DA1" w:rsidRPr="00AE6F84">
        <w:t>We find that as PD prevalence increases, relative e</w:t>
      </w:r>
      <w:r w:rsidR="000D1789" w:rsidRPr="00AE6F84">
        <w:t>n</w:t>
      </w:r>
      <w:r w:rsidR="001C7DA1" w:rsidRPr="00AE6F84">
        <w:t>richment decreases (</w:t>
      </w:r>
      <w:r w:rsidR="008D7998" w:rsidRPr="00AE6F84">
        <w:t>25% PD</w:t>
      </w:r>
      <w:r w:rsidR="00BC5D30" w:rsidRPr="00AE6F84">
        <w:t xml:space="preserve">: enrichment 13%; 75% PD: enrichment 4%). </w:t>
      </w:r>
    </w:p>
    <w:p w14:paraId="13A0C89F" w14:textId="49BC357D" w:rsidR="004232B5" w:rsidRPr="00AE6F84" w:rsidRDefault="005B5873" w:rsidP="00DE3A1D">
      <w:r w:rsidRPr="00AE6F84">
        <w:rPr>
          <w:b/>
          <w:bCs/>
        </w:rPr>
        <w:t>Figure</w:t>
      </w:r>
      <w:r w:rsidR="004232B5" w:rsidRPr="00AE6F84">
        <w:rPr>
          <w:b/>
          <w:bCs/>
        </w:rPr>
        <w:t xml:space="preserve"> </w:t>
      </w:r>
      <w:r w:rsidR="00E07DCF">
        <w:rPr>
          <w:b/>
          <w:bCs/>
        </w:rPr>
        <w:t>2</w:t>
      </w:r>
      <w:r w:rsidR="007C0DD8" w:rsidRPr="00AE6F84">
        <w:rPr>
          <w:b/>
          <w:bCs/>
        </w:rPr>
        <w:t xml:space="preserve"> </w:t>
      </w:r>
      <w:r w:rsidR="007C0DD8" w:rsidRPr="00AE6F84">
        <w:t xml:space="preserve">Comparative risk factor landscape at </w:t>
      </w:r>
      <w:r w:rsidRPr="00AE6F84">
        <w:t>50% PD prevalence</w:t>
      </w:r>
      <w:r w:rsidR="007C0DD8" w:rsidRPr="00AE6F84">
        <w:t xml:space="preserve"> baseline </w:t>
      </w:r>
    </w:p>
    <w:p w14:paraId="3A9D0E10" w14:textId="77777777" w:rsidR="004232B5" w:rsidRPr="00AE6F84" w:rsidRDefault="004232B5" w:rsidP="00DE3A1D"/>
    <w:p w14:paraId="6C0E1A5C" w14:textId="4ECD548E" w:rsidR="005013D3" w:rsidRPr="00AE6F84" w:rsidRDefault="005013D3" w:rsidP="00DE3A1D">
      <w:pPr>
        <w:rPr>
          <w:b/>
          <w:bCs/>
        </w:rPr>
      </w:pPr>
      <w:r w:rsidRPr="00AE6F84">
        <w:rPr>
          <w:b/>
          <w:bCs/>
        </w:rPr>
        <w:t>Economic outcomes</w:t>
      </w:r>
    </w:p>
    <w:p w14:paraId="0EC191A6" w14:textId="6AE1E002" w:rsidR="00BF0B04" w:rsidRPr="00AE6F84" w:rsidRDefault="00C90A12" w:rsidP="00DE3A1D">
      <w:r w:rsidRPr="00AE6F84">
        <w:t xml:space="preserve">Cumulative </w:t>
      </w:r>
      <w:r w:rsidR="00F92077" w:rsidRPr="00AE6F84">
        <w:t xml:space="preserve">formal healthcare costs </w:t>
      </w:r>
      <w:r w:rsidR="00E44DF0" w:rsidRPr="00AE6F84">
        <w:t xml:space="preserve">at a PD prevalence of 50% reached </w:t>
      </w:r>
      <w:r w:rsidR="006436F1" w:rsidRPr="00AE6F84">
        <w:t>£351</w:t>
      </w:r>
      <w:r w:rsidR="00281978" w:rsidRPr="00AE6F84">
        <w:t>.49</w:t>
      </w:r>
      <w:r w:rsidR="006436F1" w:rsidRPr="00AE6F84">
        <w:t>bn</w:t>
      </w:r>
      <w:r w:rsidR="00CE2632">
        <w:t xml:space="preserve"> (Figure 3)</w:t>
      </w:r>
      <w:r w:rsidR="00D0178A" w:rsidRPr="00AE6F84">
        <w:t xml:space="preserve">. At 25% prevalence, </w:t>
      </w:r>
      <w:r w:rsidR="00A32E0A" w:rsidRPr="00AE6F84">
        <w:t xml:space="preserve">there was formal healthcare cost savings of </w:t>
      </w:r>
      <w:r w:rsidR="0092722A" w:rsidRPr="00AE6F84">
        <w:t>£10.9</w:t>
      </w:r>
      <w:r w:rsidR="00412599" w:rsidRPr="00AE6F84">
        <w:t>2</w:t>
      </w:r>
      <w:r w:rsidR="0092722A" w:rsidRPr="00AE6F84">
        <w:t>bn (3.1% reduction), while a prevalence of 75% resulted in additional costs of £10.8</w:t>
      </w:r>
      <w:r w:rsidR="00412599" w:rsidRPr="00AE6F84">
        <w:t>5</w:t>
      </w:r>
      <w:r w:rsidR="0092722A" w:rsidRPr="00AE6F84">
        <w:t>bn (3</w:t>
      </w:r>
      <w:r w:rsidR="00187622" w:rsidRPr="00AE6F84">
        <w:t>.0% increase)</w:t>
      </w:r>
      <w:r w:rsidR="0092722A" w:rsidRPr="00AE6F84">
        <w:t>.</w:t>
      </w:r>
      <w:r w:rsidR="00187622" w:rsidRPr="00AE6F84">
        <w:t xml:space="preserve"> </w:t>
      </w:r>
      <w:r w:rsidR="0013380C" w:rsidRPr="00AE6F84">
        <w:t xml:space="preserve">Initially, </w:t>
      </w:r>
      <w:r w:rsidR="005058E1" w:rsidRPr="00AE6F84">
        <w:t>in</w:t>
      </w:r>
      <w:r w:rsidR="0013380C" w:rsidRPr="00AE6F84">
        <w:t xml:space="preserve">formal healthcare costs </w:t>
      </w:r>
      <w:r w:rsidR="005058E1" w:rsidRPr="00AE6F84">
        <w:t>exceeded formal healthcare costs (2024: £18.4bn vs £9bn)</w:t>
      </w:r>
      <w:r w:rsidR="00E86486" w:rsidRPr="00AE6F84">
        <w:t xml:space="preserve"> but were surpassed in 20</w:t>
      </w:r>
      <w:r w:rsidR="00D1219C" w:rsidRPr="00AE6F84">
        <w:t>27</w:t>
      </w:r>
      <w:r w:rsidR="0070771F" w:rsidRPr="00AE6F84">
        <w:t xml:space="preserve"> </w:t>
      </w:r>
      <w:r w:rsidR="00811869" w:rsidRPr="00AE6F84">
        <w:t>(formal care: £</w:t>
      </w:r>
      <w:r w:rsidR="0070771F" w:rsidRPr="00AE6F84">
        <w:t>17.11</w:t>
      </w:r>
      <w:r w:rsidR="00811869" w:rsidRPr="00AE6F84">
        <w:t xml:space="preserve">bn; informal care: </w:t>
      </w:r>
      <w:r w:rsidR="001E2DEA">
        <w:t>£</w:t>
      </w:r>
      <w:r w:rsidR="006D6B4F" w:rsidRPr="00AE6F84">
        <w:t>1</w:t>
      </w:r>
      <w:r w:rsidR="0070771F" w:rsidRPr="00AE6F84">
        <w:t>6.41bn</w:t>
      </w:r>
      <w:r w:rsidR="006D6B4F" w:rsidRPr="00AE6F84">
        <w:t>).</w:t>
      </w:r>
      <w:r w:rsidR="00E86486" w:rsidRPr="00AE6F84">
        <w:t xml:space="preserve"> </w:t>
      </w:r>
      <w:r w:rsidR="00195C21" w:rsidRPr="00AE6F84">
        <w:t>This is as more individuals with dementia moved into institutional care</w:t>
      </w:r>
      <w:r w:rsidR="00F55C9A" w:rsidRPr="00AE6F84">
        <w:t xml:space="preserve"> (</w:t>
      </w:r>
      <w:r w:rsidR="008F3801" w:rsidRPr="00AE6F84">
        <w:t xml:space="preserve">for 50% prevalence run: </w:t>
      </w:r>
      <w:r w:rsidR="006F77E4" w:rsidRPr="00AE6F84">
        <w:t xml:space="preserve">2024: </w:t>
      </w:r>
      <w:r w:rsidR="009947BA" w:rsidRPr="00AE6F84">
        <w:t>12</w:t>
      </w:r>
      <w:r w:rsidR="006F77E4" w:rsidRPr="00AE6F84">
        <w:t xml:space="preserve">% in formal care institution; 2027: </w:t>
      </w:r>
      <w:r w:rsidR="009947BA" w:rsidRPr="00AE6F84">
        <w:t>30</w:t>
      </w:r>
      <w:r w:rsidR="006F77E4" w:rsidRPr="00AE6F84">
        <w:t xml:space="preserve">% in formal care institution; 2030: </w:t>
      </w:r>
      <w:r w:rsidR="009947BA" w:rsidRPr="00AE6F84">
        <w:t>36</w:t>
      </w:r>
      <w:r w:rsidR="006F77E4" w:rsidRPr="00AE6F84">
        <w:t xml:space="preserve">% in formal care institution; 2040: </w:t>
      </w:r>
      <w:r w:rsidR="009947BA" w:rsidRPr="00AE6F84">
        <w:t>38</w:t>
      </w:r>
      <w:r w:rsidR="006F77E4" w:rsidRPr="00AE6F84">
        <w:t>% in formal care institution)</w:t>
      </w:r>
      <w:r w:rsidR="009A585A" w:rsidRPr="00AE6F84">
        <w:t xml:space="preserve">, and as the </w:t>
      </w:r>
      <w:r w:rsidR="00DC4DCA" w:rsidRPr="00AE6F84">
        <w:t xml:space="preserve">time progressed in the model those </w:t>
      </w:r>
      <w:r w:rsidR="00DD4AAA" w:rsidRPr="00AE6F84">
        <w:t xml:space="preserve">in care accrued more per-person costs. </w:t>
      </w:r>
      <w:r w:rsidR="00342560" w:rsidRPr="00AE6F84">
        <w:t xml:space="preserve">Cumulative informal healthcare costs at a PD prevalence of </w:t>
      </w:r>
      <w:r w:rsidR="00C34BB4" w:rsidRPr="00AE6F84">
        <w:t>50%</w:t>
      </w:r>
      <w:r w:rsidR="009F4EC0" w:rsidRPr="00AE6F84">
        <w:t xml:space="preserve"> reached £276.94bn</w:t>
      </w:r>
      <w:r w:rsidR="00BE563F" w:rsidRPr="00AE6F84">
        <w:t xml:space="preserve">. </w:t>
      </w:r>
      <w:r w:rsidR="00537D6F" w:rsidRPr="00AE6F84">
        <w:t xml:space="preserve">25% PD prevalence </w:t>
      </w:r>
      <w:r w:rsidR="00650EF5" w:rsidRPr="00AE6F84">
        <w:t>saw informal cost savings of £</w:t>
      </w:r>
      <w:r w:rsidR="00412599" w:rsidRPr="00AE6F84">
        <w:t>8.81bn, and a PD prevalence of 75% resulted in an increase of £</w:t>
      </w:r>
      <w:r w:rsidR="00657C5C" w:rsidRPr="00AE6F84">
        <w:t xml:space="preserve">8.77bn. </w:t>
      </w:r>
      <w:r w:rsidR="00511FEB" w:rsidRPr="00AE6F84">
        <w:t xml:space="preserve">Over the forecast period, this </w:t>
      </w:r>
      <w:r w:rsidR="00B11578" w:rsidRPr="00AE6F84">
        <w:t xml:space="preserve">averages to £171,000-£173,000 total saved per dementia case avoided. Given </w:t>
      </w:r>
      <w:r w:rsidR="00915339" w:rsidRPr="00AE6F84">
        <w:t xml:space="preserve">an average </w:t>
      </w:r>
      <w:r w:rsidR="00B11578" w:rsidRPr="00AE6F84">
        <w:t xml:space="preserve">dementia </w:t>
      </w:r>
      <w:r w:rsidR="00806DE6" w:rsidRPr="00AE6F84">
        <w:t xml:space="preserve">cost per individual </w:t>
      </w:r>
      <w:r w:rsidR="00915339" w:rsidRPr="00AE6F84">
        <w:t xml:space="preserve">(2024-2040) of </w:t>
      </w:r>
      <w:r w:rsidR="00262F9A" w:rsidRPr="00AE6F84">
        <w:t xml:space="preserve">£35,977 (50% prevalence), this </w:t>
      </w:r>
      <w:r w:rsidR="00B534BA" w:rsidRPr="00AE6F84">
        <w:t>implies that</w:t>
      </w:r>
      <w:r w:rsidR="004F5F55" w:rsidRPr="00AE6F84">
        <w:t xml:space="preserve"> preventing one case avoids approximately </w:t>
      </w:r>
      <w:r w:rsidR="00AD230A" w:rsidRPr="00AE6F84">
        <w:t xml:space="preserve">5-years of dementia-related care costs. </w:t>
      </w:r>
      <w:r w:rsidR="006A6D19" w:rsidRPr="00AE6F84">
        <w:t xml:space="preserve">This can also be interpreted as the average duration individuals live with dementia in the model. </w:t>
      </w:r>
    </w:p>
    <w:p w14:paraId="5905D4C9" w14:textId="6212AA2B" w:rsidR="005013D3" w:rsidRPr="00AE6F84" w:rsidRDefault="00E07DCF" w:rsidP="00DE3A1D">
      <w:r w:rsidRPr="00AE6F84">
        <w:rPr>
          <w:noProof/>
        </w:rPr>
        <w:lastRenderedPageBreak/>
        <w:drawing>
          <wp:anchor distT="0" distB="0" distL="114300" distR="114300" simplePos="0" relativeHeight="251659264" behindDoc="0" locked="0" layoutInCell="1" allowOverlap="1" wp14:anchorId="478726A7" wp14:editId="6AC02901">
            <wp:simplePos x="0" y="0"/>
            <wp:positionH relativeFrom="column">
              <wp:posOffset>-344805</wp:posOffset>
            </wp:positionH>
            <wp:positionV relativeFrom="paragraph">
              <wp:posOffset>0</wp:posOffset>
            </wp:positionV>
            <wp:extent cx="6055360" cy="3184525"/>
            <wp:effectExtent l="0" t="0" r="2540" b="0"/>
            <wp:wrapTopAndBottom/>
            <wp:docPr id="10584946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9244"/>
                    <a:stretch>
                      <a:fillRect/>
                    </a:stretch>
                  </pic:blipFill>
                  <pic:spPr bwMode="auto">
                    <a:xfrm>
                      <a:off x="0" y="0"/>
                      <a:ext cx="6055360" cy="3184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534F" w:rsidRPr="00AE6F84">
        <w:rPr>
          <w:b/>
          <w:bCs/>
        </w:rPr>
        <w:t xml:space="preserve">Figure </w:t>
      </w:r>
      <w:r w:rsidR="00CE2632">
        <w:rPr>
          <w:b/>
          <w:bCs/>
        </w:rPr>
        <w:t>3</w:t>
      </w:r>
      <w:r w:rsidR="00AE534F" w:rsidRPr="00AE6F84">
        <w:rPr>
          <w:b/>
          <w:bCs/>
        </w:rPr>
        <w:t xml:space="preserve"> </w:t>
      </w:r>
      <w:r w:rsidR="00AE534F" w:rsidRPr="00AE6F84">
        <w:t>Annual dementia costs by periodontal disease prevalence scenario</w:t>
      </w:r>
      <w:r w:rsidR="0006077C">
        <w:t>. 2024£ costs</w:t>
      </w:r>
    </w:p>
    <w:p w14:paraId="33B2B29B" w14:textId="2BA4B33F" w:rsidR="00BF0B04" w:rsidRPr="00AE6F84" w:rsidRDefault="005013D3" w:rsidP="00DE3A1D">
      <w:r w:rsidRPr="00AE6F84">
        <w:rPr>
          <w:noProof/>
        </w:rPr>
        <w:drawing>
          <wp:inline distT="0" distB="0" distL="0" distR="0" wp14:anchorId="687D4031" wp14:editId="7D338FB9">
            <wp:extent cx="5991225" cy="4285873"/>
            <wp:effectExtent l="0" t="0" r="0" b="635"/>
            <wp:docPr id="1062747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239"/>
                    <a:stretch>
                      <a:fillRect/>
                    </a:stretch>
                  </pic:blipFill>
                  <pic:spPr bwMode="auto">
                    <a:xfrm>
                      <a:off x="0" y="0"/>
                      <a:ext cx="5994151" cy="4287966"/>
                    </a:xfrm>
                    <a:prstGeom prst="rect">
                      <a:avLst/>
                    </a:prstGeom>
                    <a:noFill/>
                    <a:ln>
                      <a:noFill/>
                    </a:ln>
                    <a:extLst>
                      <a:ext uri="{53640926-AAD7-44D8-BBD7-CCE9431645EC}">
                        <a14:shadowObscured xmlns:a14="http://schemas.microsoft.com/office/drawing/2010/main"/>
                      </a:ext>
                    </a:extLst>
                  </pic:spPr>
                </pic:pic>
              </a:graphicData>
            </a:graphic>
          </wp:inline>
        </w:drawing>
      </w:r>
    </w:p>
    <w:p w14:paraId="4C80DF8C" w14:textId="0041207E" w:rsidR="005013D3" w:rsidRPr="00AE6F84" w:rsidRDefault="005013D3" w:rsidP="00DE3A1D">
      <w:r w:rsidRPr="00AE6F84">
        <w:rPr>
          <w:b/>
          <w:bCs/>
        </w:rPr>
        <w:t xml:space="preserve">Figure </w:t>
      </w:r>
      <w:r w:rsidR="00CE2632">
        <w:rPr>
          <w:b/>
          <w:bCs/>
        </w:rPr>
        <w:t>4</w:t>
      </w:r>
      <w:r w:rsidRPr="00AE6F84">
        <w:rPr>
          <w:b/>
          <w:bCs/>
        </w:rPr>
        <w:t xml:space="preserve"> </w:t>
      </w:r>
      <w:r w:rsidRPr="00AE6F84">
        <w:t>Cumulative QALY differences from 50% baseline 2024-2040</w:t>
      </w:r>
    </w:p>
    <w:p w14:paraId="41F2A167" w14:textId="77777777" w:rsidR="005013D3" w:rsidRPr="00AE6F84" w:rsidRDefault="005013D3" w:rsidP="00DE3A1D"/>
    <w:p w14:paraId="29B5577F" w14:textId="0B11FF6E" w:rsidR="005013D3" w:rsidRPr="00AE6F84" w:rsidRDefault="005013D3" w:rsidP="00DE3A1D">
      <w:pPr>
        <w:rPr>
          <w:b/>
          <w:bCs/>
        </w:rPr>
      </w:pPr>
      <w:r w:rsidRPr="00AE6F84">
        <w:rPr>
          <w:b/>
          <w:bCs/>
        </w:rPr>
        <w:lastRenderedPageBreak/>
        <w:t>Health utility outcomes</w:t>
      </w:r>
    </w:p>
    <w:p w14:paraId="62C78502" w14:textId="5B3E3CAE" w:rsidR="005013D3" w:rsidRPr="00AE6F84" w:rsidRDefault="00AA3372" w:rsidP="00DE3A1D">
      <w:r w:rsidRPr="00AE6F84">
        <w:t>For both the lower prevalence and higher prevalence scenario</w:t>
      </w:r>
      <w:r w:rsidR="00071145" w:rsidRPr="00AE6F84">
        <w:t xml:space="preserve">, </w:t>
      </w:r>
      <w:r w:rsidR="00900E8A">
        <w:t>population</w:t>
      </w:r>
      <w:r w:rsidR="006F6817" w:rsidRPr="00AE6F84">
        <w:t xml:space="preserve"> QALYs differed marginally from the baseline 50% prevalence</w:t>
      </w:r>
      <w:r w:rsidR="00B61621" w:rsidRPr="00AE6F84">
        <w:t>, with only small year-on-year differences within the PD prevalences</w:t>
      </w:r>
      <w:r w:rsidR="008869F0" w:rsidRPr="00AE6F84">
        <w:t xml:space="preserve"> (Figure </w:t>
      </w:r>
      <w:r w:rsidR="00CE2632">
        <w:t>4</w:t>
      </w:r>
      <w:r w:rsidR="008869F0" w:rsidRPr="00AE6F84">
        <w:t>)</w:t>
      </w:r>
      <w:r w:rsidR="006F6817" w:rsidRPr="00AE6F84">
        <w:t xml:space="preserve">. </w:t>
      </w:r>
      <w:r w:rsidR="00CB2A09" w:rsidRPr="00AE6F84">
        <w:t xml:space="preserve">Total </w:t>
      </w:r>
      <w:r w:rsidR="00900E8A">
        <w:t>population</w:t>
      </w:r>
      <w:r w:rsidR="00AA57C9" w:rsidRPr="00AE6F84">
        <w:t xml:space="preserve"> QALYs (not including caregiver QALYs) </w:t>
      </w:r>
      <w:r w:rsidR="00833F7C" w:rsidRPr="00AE6F84">
        <w:t xml:space="preserve">totalled 141.38mn at 25% PD prevalence, 141.22mn at 50%, and </w:t>
      </w:r>
      <w:r w:rsidR="00493B17" w:rsidRPr="00AE6F84">
        <w:t xml:space="preserve">141.05mn at 75%. </w:t>
      </w:r>
      <w:r w:rsidR="00AC4FAE" w:rsidRPr="00AE6F84">
        <w:t xml:space="preserve">This is less than a 0.2% variation around the baseline. </w:t>
      </w:r>
      <w:r w:rsidR="00493B17" w:rsidRPr="00AE6F84">
        <w:t xml:space="preserve">Year-by-year </w:t>
      </w:r>
      <w:r w:rsidR="00900E8A">
        <w:t>population</w:t>
      </w:r>
      <w:r w:rsidR="00493B17" w:rsidRPr="00AE6F84">
        <w:t xml:space="preserve"> QALYs remained stable across scenarios, varying by</w:t>
      </w:r>
      <w:r w:rsidR="008271D9" w:rsidRPr="00AE6F84">
        <w:t xml:space="preserve"> less than 200,000 QALYs </w:t>
      </w:r>
      <w:r w:rsidR="003F573D" w:rsidRPr="00AE6F84">
        <w:t xml:space="preserve">across 2024-2040. Caregiver QALYs, assigned to each individual with dementia, demonstrated greater variability.  </w:t>
      </w:r>
      <w:r w:rsidR="00D9489C" w:rsidRPr="00AE6F84">
        <w:t xml:space="preserve">The lower 25% PD prevalence resulted in </w:t>
      </w:r>
      <w:r w:rsidR="00D80B2C" w:rsidRPr="00AE6F84">
        <w:t>10.</w:t>
      </w:r>
      <w:r w:rsidR="00062339" w:rsidRPr="00AE6F84">
        <w:t xml:space="preserve">20 million caregiver QALYs, 50% PD prevalence </w:t>
      </w:r>
      <w:r w:rsidR="00DF29F7" w:rsidRPr="00AE6F84">
        <w:t>10.</w:t>
      </w:r>
      <w:r w:rsidR="003412AD" w:rsidRPr="00AE6F84">
        <w:t xml:space="preserve">55 million, and 75% PD prevalence 10.90 million. </w:t>
      </w:r>
      <w:r w:rsidR="00D80A21" w:rsidRPr="00AE6F84">
        <w:t xml:space="preserve">This relationship represents the model structure, as a reduced dementia population resulted in a smaller caregiver population, and therefore less caregiver QALYs accrued. </w:t>
      </w:r>
    </w:p>
    <w:p w14:paraId="6E0D933D" w14:textId="77777777" w:rsidR="00ED61D2" w:rsidRPr="00AE6F84" w:rsidRDefault="00ED61D2" w:rsidP="00DE3A1D"/>
    <w:p w14:paraId="0C25D9DF" w14:textId="7E657C51" w:rsidR="00C639A8" w:rsidRPr="00AE6F84" w:rsidRDefault="00C639A8" w:rsidP="00DE3A1D">
      <w:pPr>
        <w:rPr>
          <w:b/>
          <w:bCs/>
        </w:rPr>
      </w:pPr>
      <w:r w:rsidRPr="00AE6F84">
        <w:rPr>
          <w:b/>
          <w:bCs/>
        </w:rPr>
        <w:t>Sensitivity analysis results</w:t>
      </w:r>
    </w:p>
    <w:p w14:paraId="5F0FC2CB" w14:textId="7BAD79DD" w:rsidR="00141C40" w:rsidRDefault="00905A44" w:rsidP="00DE3A1D">
      <w:r w:rsidRPr="00905A44">
        <w:t>Our PSA results demonstrate the stability of our base case results across all three prevalence scenarios, displaying robustness to parameter uncertainty (summarised in Table 4, full results in Supplementary Materials Table XXX). Total costs ranged from £610.0bn (95% CI: £509.3bn–£710.9bn) at 25% PD prevalence to £651.2bn (95% CI: £535.7bn–£765.3bn) at 75% PD prevalence, with coefficients of variation between 8.3% and 8.9%. Total QALYs were highly stable across scenarios, ranging from 151.9mn to 152.4mn with the lowest uncertainty of any outcome (CV: 5.2%–5.3%). Cumulative incident dementia cases ranged from 2.7mn at 25% PD prevalence (95% CI: 2.2mn–3.2mn) to 2.9mn at 75% PD prevalence (95% CI: 2.4mn–3.5mn), with slightly higher variation (CV: 9.1%–9.7%). All outcomes displayed narrow confidence intervals and consistent behaviour across PD prevalence scenarios, supporting the robustness of the base case findings</w:t>
      </w:r>
      <w:r>
        <w:t>.</w:t>
      </w:r>
    </w:p>
    <w:tbl>
      <w:tblPr>
        <w:tblStyle w:val="TableGrid"/>
        <w:tblW w:w="10632" w:type="dxa"/>
        <w:tblInd w:w="-714" w:type="dxa"/>
        <w:tblLook w:val="04A0" w:firstRow="1" w:lastRow="0" w:firstColumn="1" w:lastColumn="0" w:noHBand="0" w:noVBand="1"/>
      </w:tblPr>
      <w:tblGrid>
        <w:gridCol w:w="2552"/>
        <w:gridCol w:w="2693"/>
        <w:gridCol w:w="2835"/>
        <w:gridCol w:w="2552"/>
      </w:tblGrid>
      <w:tr w:rsidR="00141C40" w:rsidRPr="002C506A" w14:paraId="13BB57F8" w14:textId="77777777" w:rsidTr="002C506A">
        <w:tc>
          <w:tcPr>
            <w:tcW w:w="2552" w:type="dxa"/>
          </w:tcPr>
          <w:p w14:paraId="2880D37C" w14:textId="6089DC41" w:rsidR="00141C40" w:rsidRPr="002C506A" w:rsidRDefault="00141C40" w:rsidP="00DE3A1D">
            <w:pPr>
              <w:rPr>
                <w:b/>
                <w:bCs/>
                <w:sz w:val="22"/>
                <w:szCs w:val="22"/>
              </w:rPr>
            </w:pPr>
            <w:r w:rsidRPr="002C506A">
              <w:rPr>
                <w:b/>
                <w:bCs/>
                <w:sz w:val="22"/>
                <w:szCs w:val="22"/>
              </w:rPr>
              <w:t>Outcome</w:t>
            </w:r>
          </w:p>
        </w:tc>
        <w:tc>
          <w:tcPr>
            <w:tcW w:w="2693" w:type="dxa"/>
          </w:tcPr>
          <w:p w14:paraId="713DF4FD" w14:textId="09870146" w:rsidR="00141C40" w:rsidRPr="002C506A" w:rsidRDefault="00141C40" w:rsidP="00DE3A1D">
            <w:pPr>
              <w:rPr>
                <w:b/>
                <w:bCs/>
                <w:sz w:val="22"/>
                <w:szCs w:val="22"/>
              </w:rPr>
            </w:pPr>
            <w:r w:rsidRPr="002C506A">
              <w:rPr>
                <w:b/>
                <w:bCs/>
                <w:sz w:val="22"/>
                <w:szCs w:val="22"/>
              </w:rPr>
              <w:t>25% PD Prevalence</w:t>
            </w:r>
          </w:p>
        </w:tc>
        <w:tc>
          <w:tcPr>
            <w:tcW w:w="2835" w:type="dxa"/>
          </w:tcPr>
          <w:p w14:paraId="70EC8FE8" w14:textId="2D46BDB3" w:rsidR="00141C40" w:rsidRPr="002C506A" w:rsidRDefault="00141C40" w:rsidP="00DE3A1D">
            <w:pPr>
              <w:rPr>
                <w:b/>
                <w:bCs/>
                <w:sz w:val="22"/>
                <w:szCs w:val="22"/>
              </w:rPr>
            </w:pPr>
            <w:r w:rsidRPr="002C506A">
              <w:rPr>
                <w:b/>
                <w:bCs/>
                <w:sz w:val="22"/>
                <w:szCs w:val="22"/>
              </w:rPr>
              <w:t>50% PD Prevalence</w:t>
            </w:r>
          </w:p>
        </w:tc>
        <w:tc>
          <w:tcPr>
            <w:tcW w:w="2552" w:type="dxa"/>
          </w:tcPr>
          <w:p w14:paraId="3E59BD2E" w14:textId="5B94FFBA" w:rsidR="00141C40" w:rsidRPr="002C506A" w:rsidRDefault="00141C40" w:rsidP="00DE3A1D">
            <w:pPr>
              <w:rPr>
                <w:b/>
                <w:bCs/>
                <w:sz w:val="22"/>
                <w:szCs w:val="22"/>
              </w:rPr>
            </w:pPr>
            <w:r w:rsidRPr="002C506A">
              <w:rPr>
                <w:b/>
                <w:bCs/>
                <w:sz w:val="22"/>
                <w:szCs w:val="22"/>
              </w:rPr>
              <w:t>75% PD Prevalence</w:t>
            </w:r>
          </w:p>
        </w:tc>
      </w:tr>
      <w:tr w:rsidR="00141C40" w:rsidRPr="002C506A" w14:paraId="1DA60201" w14:textId="77777777" w:rsidTr="002C506A">
        <w:tc>
          <w:tcPr>
            <w:tcW w:w="2552" w:type="dxa"/>
          </w:tcPr>
          <w:p w14:paraId="152A78CC" w14:textId="67BB142D" w:rsidR="00141C40" w:rsidRPr="002C506A" w:rsidRDefault="00141C40" w:rsidP="00DE3A1D">
            <w:pPr>
              <w:rPr>
                <w:b/>
                <w:bCs/>
                <w:sz w:val="22"/>
                <w:szCs w:val="22"/>
              </w:rPr>
            </w:pPr>
            <w:r w:rsidRPr="002C506A">
              <w:rPr>
                <w:b/>
                <w:bCs/>
                <w:sz w:val="22"/>
                <w:szCs w:val="22"/>
              </w:rPr>
              <w:t>Total costs (£bn)</w:t>
            </w:r>
          </w:p>
        </w:tc>
        <w:tc>
          <w:tcPr>
            <w:tcW w:w="2693" w:type="dxa"/>
          </w:tcPr>
          <w:p w14:paraId="1968EA53" w14:textId="3DCD6585" w:rsidR="00141C40" w:rsidRPr="002C506A" w:rsidRDefault="004B5B0A" w:rsidP="00DE3A1D">
            <w:pPr>
              <w:rPr>
                <w:sz w:val="22"/>
                <w:szCs w:val="22"/>
              </w:rPr>
            </w:pPr>
            <w:r>
              <w:rPr>
                <w:sz w:val="22"/>
                <w:szCs w:val="22"/>
              </w:rPr>
              <w:t>610</w:t>
            </w:r>
            <w:r w:rsidR="00FA1A04">
              <w:rPr>
                <w:sz w:val="22"/>
                <w:szCs w:val="22"/>
              </w:rPr>
              <w:t>.04</w:t>
            </w:r>
            <w:r w:rsidR="00E503E2" w:rsidRPr="002C506A">
              <w:rPr>
                <w:sz w:val="22"/>
                <w:szCs w:val="22"/>
              </w:rPr>
              <w:t xml:space="preserve"> (</w:t>
            </w:r>
            <w:r w:rsidR="00FA1A04">
              <w:rPr>
                <w:sz w:val="22"/>
                <w:szCs w:val="22"/>
              </w:rPr>
              <w:t>509.31</w:t>
            </w:r>
            <w:r w:rsidR="00E503E2" w:rsidRPr="002C506A">
              <w:rPr>
                <w:sz w:val="22"/>
                <w:szCs w:val="22"/>
              </w:rPr>
              <w:t>-</w:t>
            </w:r>
            <w:r w:rsidR="002C506A" w:rsidRPr="002C506A">
              <w:rPr>
                <w:sz w:val="22"/>
                <w:szCs w:val="22"/>
              </w:rPr>
              <w:t>7</w:t>
            </w:r>
            <w:r w:rsidR="00FA1A04">
              <w:rPr>
                <w:sz w:val="22"/>
                <w:szCs w:val="22"/>
              </w:rPr>
              <w:t>10.92</w:t>
            </w:r>
            <w:r w:rsidR="002C506A" w:rsidRPr="002C506A">
              <w:rPr>
                <w:sz w:val="22"/>
                <w:szCs w:val="22"/>
              </w:rPr>
              <w:t>)</w:t>
            </w:r>
            <w:r w:rsidR="002C506A">
              <w:rPr>
                <w:sz w:val="22"/>
                <w:szCs w:val="22"/>
              </w:rPr>
              <w:t>; CV: 8.</w:t>
            </w:r>
            <w:r w:rsidR="00FA1A04">
              <w:rPr>
                <w:sz w:val="22"/>
                <w:szCs w:val="22"/>
              </w:rPr>
              <w:t>3</w:t>
            </w:r>
            <w:r w:rsidR="002C506A">
              <w:rPr>
                <w:sz w:val="22"/>
                <w:szCs w:val="22"/>
              </w:rPr>
              <w:t>%</w:t>
            </w:r>
          </w:p>
        </w:tc>
        <w:tc>
          <w:tcPr>
            <w:tcW w:w="2835" w:type="dxa"/>
          </w:tcPr>
          <w:p w14:paraId="68F23F2D" w14:textId="53CC9443" w:rsidR="00141C40" w:rsidRPr="002C506A" w:rsidRDefault="008B338F" w:rsidP="00DE3A1D">
            <w:pPr>
              <w:rPr>
                <w:sz w:val="22"/>
                <w:szCs w:val="22"/>
              </w:rPr>
            </w:pPr>
            <w:r>
              <w:rPr>
                <w:sz w:val="22"/>
                <w:szCs w:val="22"/>
              </w:rPr>
              <w:t>6</w:t>
            </w:r>
            <w:r w:rsidR="002052B1">
              <w:rPr>
                <w:sz w:val="22"/>
                <w:szCs w:val="22"/>
              </w:rPr>
              <w:t>30</w:t>
            </w:r>
            <w:r>
              <w:rPr>
                <w:sz w:val="22"/>
                <w:szCs w:val="22"/>
              </w:rPr>
              <w:t>.</w:t>
            </w:r>
            <w:r w:rsidR="002052B1">
              <w:rPr>
                <w:sz w:val="22"/>
                <w:szCs w:val="22"/>
              </w:rPr>
              <w:t>7</w:t>
            </w:r>
            <w:r>
              <w:rPr>
                <w:sz w:val="22"/>
                <w:szCs w:val="22"/>
              </w:rPr>
              <w:t xml:space="preserve"> (</w:t>
            </w:r>
            <w:r w:rsidR="002052B1">
              <w:rPr>
                <w:sz w:val="22"/>
                <w:szCs w:val="22"/>
              </w:rPr>
              <w:t>521.</w:t>
            </w:r>
            <w:r w:rsidR="009F450E">
              <w:rPr>
                <w:sz w:val="22"/>
                <w:szCs w:val="22"/>
              </w:rPr>
              <w:t>0</w:t>
            </w:r>
            <w:r>
              <w:rPr>
                <w:sz w:val="22"/>
                <w:szCs w:val="22"/>
              </w:rPr>
              <w:t>-</w:t>
            </w:r>
            <w:r w:rsidR="009F450E">
              <w:rPr>
                <w:sz w:val="22"/>
                <w:szCs w:val="22"/>
              </w:rPr>
              <w:t>739.0</w:t>
            </w:r>
            <w:r>
              <w:rPr>
                <w:sz w:val="22"/>
                <w:szCs w:val="22"/>
              </w:rPr>
              <w:t>); CV: 8.6%</w:t>
            </w:r>
          </w:p>
        </w:tc>
        <w:tc>
          <w:tcPr>
            <w:tcW w:w="2552" w:type="dxa"/>
          </w:tcPr>
          <w:p w14:paraId="306E9710" w14:textId="3AEECAB2" w:rsidR="00141C40" w:rsidRPr="002C506A" w:rsidRDefault="00661329" w:rsidP="00DE3A1D">
            <w:pPr>
              <w:rPr>
                <w:sz w:val="22"/>
                <w:szCs w:val="22"/>
              </w:rPr>
            </w:pPr>
            <w:r>
              <w:rPr>
                <w:sz w:val="22"/>
                <w:szCs w:val="22"/>
              </w:rPr>
              <w:t>6</w:t>
            </w:r>
            <w:r w:rsidR="00A72F39">
              <w:rPr>
                <w:sz w:val="22"/>
                <w:szCs w:val="22"/>
              </w:rPr>
              <w:t>5</w:t>
            </w:r>
            <w:r w:rsidR="00BF0651">
              <w:rPr>
                <w:sz w:val="22"/>
                <w:szCs w:val="22"/>
              </w:rPr>
              <w:t>1</w:t>
            </w:r>
            <w:r>
              <w:rPr>
                <w:sz w:val="22"/>
                <w:szCs w:val="22"/>
              </w:rPr>
              <w:t>.</w:t>
            </w:r>
            <w:r w:rsidR="00BF0651">
              <w:rPr>
                <w:sz w:val="22"/>
                <w:szCs w:val="22"/>
              </w:rPr>
              <w:t>2</w:t>
            </w:r>
            <w:r>
              <w:rPr>
                <w:sz w:val="22"/>
                <w:szCs w:val="22"/>
              </w:rPr>
              <w:t xml:space="preserve"> (5</w:t>
            </w:r>
            <w:r w:rsidR="00BF0651">
              <w:rPr>
                <w:sz w:val="22"/>
                <w:szCs w:val="22"/>
              </w:rPr>
              <w:t>35.7</w:t>
            </w:r>
            <w:r>
              <w:rPr>
                <w:sz w:val="22"/>
                <w:szCs w:val="22"/>
              </w:rPr>
              <w:t>-7</w:t>
            </w:r>
            <w:r w:rsidR="00CC593B">
              <w:rPr>
                <w:sz w:val="22"/>
                <w:szCs w:val="22"/>
              </w:rPr>
              <w:t>65.3</w:t>
            </w:r>
            <w:r>
              <w:rPr>
                <w:sz w:val="22"/>
                <w:szCs w:val="22"/>
              </w:rPr>
              <w:t>)</w:t>
            </w:r>
            <w:r w:rsidR="000D6761">
              <w:rPr>
                <w:sz w:val="22"/>
                <w:szCs w:val="22"/>
              </w:rPr>
              <w:t>; 8.9%</w:t>
            </w:r>
          </w:p>
        </w:tc>
      </w:tr>
      <w:tr w:rsidR="00141C40" w:rsidRPr="002C506A" w14:paraId="44CB4964" w14:textId="77777777" w:rsidTr="002C506A">
        <w:tc>
          <w:tcPr>
            <w:tcW w:w="2552" w:type="dxa"/>
          </w:tcPr>
          <w:p w14:paraId="04A794E4" w14:textId="34951B45" w:rsidR="00141C40" w:rsidRPr="002C506A" w:rsidRDefault="00141C40" w:rsidP="00DE3A1D">
            <w:pPr>
              <w:rPr>
                <w:b/>
                <w:bCs/>
                <w:sz w:val="22"/>
                <w:szCs w:val="22"/>
              </w:rPr>
            </w:pPr>
            <w:r w:rsidRPr="002C506A">
              <w:rPr>
                <w:b/>
                <w:bCs/>
                <w:sz w:val="22"/>
                <w:szCs w:val="22"/>
              </w:rPr>
              <w:t>Total QALYs (</w:t>
            </w:r>
            <w:proofErr w:type="spellStart"/>
            <w:r w:rsidRPr="002C506A">
              <w:rPr>
                <w:b/>
                <w:bCs/>
                <w:sz w:val="22"/>
                <w:szCs w:val="22"/>
              </w:rPr>
              <w:t>mn</w:t>
            </w:r>
            <w:proofErr w:type="spellEnd"/>
            <w:r w:rsidRPr="002C506A">
              <w:rPr>
                <w:b/>
                <w:bCs/>
                <w:sz w:val="22"/>
                <w:szCs w:val="22"/>
              </w:rPr>
              <w:t>)</w:t>
            </w:r>
          </w:p>
        </w:tc>
        <w:tc>
          <w:tcPr>
            <w:tcW w:w="2693" w:type="dxa"/>
          </w:tcPr>
          <w:p w14:paraId="2C07AEF8" w14:textId="798B58C7" w:rsidR="00141C40" w:rsidRPr="002C506A" w:rsidRDefault="00814609" w:rsidP="00DE3A1D">
            <w:pPr>
              <w:rPr>
                <w:sz w:val="22"/>
                <w:szCs w:val="22"/>
              </w:rPr>
            </w:pPr>
            <w:r>
              <w:rPr>
                <w:sz w:val="22"/>
                <w:szCs w:val="22"/>
              </w:rPr>
              <w:t>15</w:t>
            </w:r>
            <w:r w:rsidR="00782F63">
              <w:rPr>
                <w:sz w:val="22"/>
                <w:szCs w:val="22"/>
              </w:rPr>
              <w:t>1</w:t>
            </w:r>
            <w:r>
              <w:rPr>
                <w:sz w:val="22"/>
                <w:szCs w:val="22"/>
              </w:rPr>
              <w:t>.</w:t>
            </w:r>
            <w:r w:rsidR="00375416">
              <w:rPr>
                <w:sz w:val="22"/>
                <w:szCs w:val="22"/>
              </w:rPr>
              <w:t>9</w:t>
            </w:r>
            <w:r>
              <w:rPr>
                <w:sz w:val="22"/>
                <w:szCs w:val="22"/>
              </w:rPr>
              <w:t xml:space="preserve"> (136.</w:t>
            </w:r>
            <w:r w:rsidR="00375416">
              <w:rPr>
                <w:sz w:val="22"/>
                <w:szCs w:val="22"/>
              </w:rPr>
              <w:t>1</w:t>
            </w:r>
            <w:r>
              <w:rPr>
                <w:sz w:val="22"/>
                <w:szCs w:val="22"/>
              </w:rPr>
              <w:t>-167.</w:t>
            </w:r>
            <w:r w:rsidR="00AA3B1A">
              <w:rPr>
                <w:sz w:val="22"/>
                <w:szCs w:val="22"/>
              </w:rPr>
              <w:t>2</w:t>
            </w:r>
            <w:r>
              <w:rPr>
                <w:sz w:val="22"/>
                <w:szCs w:val="22"/>
              </w:rPr>
              <w:t>); CV: 5.3%</w:t>
            </w:r>
          </w:p>
        </w:tc>
        <w:tc>
          <w:tcPr>
            <w:tcW w:w="2835" w:type="dxa"/>
          </w:tcPr>
          <w:p w14:paraId="3DD02627" w14:textId="1A60ACAC" w:rsidR="00141C40" w:rsidRPr="002C506A" w:rsidRDefault="008B338F" w:rsidP="00DE3A1D">
            <w:pPr>
              <w:rPr>
                <w:sz w:val="22"/>
                <w:szCs w:val="22"/>
              </w:rPr>
            </w:pPr>
            <w:r>
              <w:rPr>
                <w:sz w:val="22"/>
                <w:szCs w:val="22"/>
              </w:rPr>
              <w:t>152.</w:t>
            </w:r>
            <w:r w:rsidR="009F450E">
              <w:rPr>
                <w:sz w:val="22"/>
                <w:szCs w:val="22"/>
              </w:rPr>
              <w:t>2</w:t>
            </w:r>
            <w:r>
              <w:rPr>
                <w:sz w:val="22"/>
                <w:szCs w:val="22"/>
              </w:rPr>
              <w:t xml:space="preserve"> (136.</w:t>
            </w:r>
            <w:r w:rsidR="009F450E">
              <w:rPr>
                <w:sz w:val="22"/>
                <w:szCs w:val="22"/>
              </w:rPr>
              <w:t>4</w:t>
            </w:r>
            <w:r>
              <w:rPr>
                <w:sz w:val="22"/>
                <w:szCs w:val="22"/>
              </w:rPr>
              <w:t>-167.</w:t>
            </w:r>
            <w:r w:rsidR="00D1630C">
              <w:rPr>
                <w:sz w:val="22"/>
                <w:szCs w:val="22"/>
              </w:rPr>
              <w:t>3</w:t>
            </w:r>
            <w:r>
              <w:rPr>
                <w:sz w:val="22"/>
                <w:szCs w:val="22"/>
              </w:rPr>
              <w:t>); CV: 5.</w:t>
            </w:r>
            <w:r w:rsidR="00CC593B">
              <w:rPr>
                <w:sz w:val="22"/>
                <w:szCs w:val="22"/>
              </w:rPr>
              <w:t>3</w:t>
            </w:r>
            <w:r>
              <w:rPr>
                <w:sz w:val="22"/>
                <w:szCs w:val="22"/>
              </w:rPr>
              <w:t>%</w:t>
            </w:r>
          </w:p>
        </w:tc>
        <w:tc>
          <w:tcPr>
            <w:tcW w:w="2552" w:type="dxa"/>
          </w:tcPr>
          <w:p w14:paraId="755479A3" w14:textId="64D1FA5D" w:rsidR="00141C40" w:rsidRPr="002C506A" w:rsidRDefault="000D6761" w:rsidP="00DE3A1D">
            <w:pPr>
              <w:rPr>
                <w:sz w:val="22"/>
                <w:szCs w:val="22"/>
              </w:rPr>
            </w:pPr>
            <w:r>
              <w:rPr>
                <w:sz w:val="22"/>
                <w:szCs w:val="22"/>
              </w:rPr>
              <w:t>152.</w:t>
            </w:r>
            <w:r w:rsidR="00D83DDC">
              <w:rPr>
                <w:sz w:val="22"/>
                <w:szCs w:val="22"/>
              </w:rPr>
              <w:t>4</w:t>
            </w:r>
            <w:r>
              <w:rPr>
                <w:sz w:val="22"/>
                <w:szCs w:val="22"/>
              </w:rPr>
              <w:t xml:space="preserve"> (136.6-167.</w:t>
            </w:r>
            <w:r w:rsidR="0095654B">
              <w:rPr>
                <w:sz w:val="22"/>
                <w:szCs w:val="22"/>
              </w:rPr>
              <w:t>4</w:t>
            </w:r>
            <w:r>
              <w:rPr>
                <w:sz w:val="22"/>
                <w:szCs w:val="22"/>
              </w:rPr>
              <w:t>); 5.2%</w:t>
            </w:r>
          </w:p>
        </w:tc>
      </w:tr>
      <w:tr w:rsidR="00141C40" w:rsidRPr="002C506A" w14:paraId="0ADC32AF" w14:textId="77777777" w:rsidTr="002C506A">
        <w:tc>
          <w:tcPr>
            <w:tcW w:w="2552" w:type="dxa"/>
          </w:tcPr>
          <w:p w14:paraId="45CB5FD0" w14:textId="19206CB4" w:rsidR="00141C40" w:rsidRPr="002C506A" w:rsidRDefault="00141C40" w:rsidP="00DE3A1D">
            <w:pPr>
              <w:rPr>
                <w:b/>
                <w:bCs/>
                <w:sz w:val="22"/>
                <w:szCs w:val="22"/>
              </w:rPr>
            </w:pPr>
            <w:r w:rsidRPr="002C506A">
              <w:rPr>
                <w:b/>
                <w:bCs/>
                <w:sz w:val="22"/>
                <w:szCs w:val="22"/>
              </w:rPr>
              <w:t>Incident cases (</w:t>
            </w:r>
            <w:proofErr w:type="spellStart"/>
            <w:r w:rsidRPr="002C506A">
              <w:rPr>
                <w:b/>
                <w:bCs/>
                <w:sz w:val="22"/>
                <w:szCs w:val="22"/>
              </w:rPr>
              <w:t>mn</w:t>
            </w:r>
            <w:proofErr w:type="spellEnd"/>
            <w:r w:rsidRPr="002C506A">
              <w:rPr>
                <w:b/>
                <w:bCs/>
                <w:sz w:val="22"/>
                <w:szCs w:val="22"/>
              </w:rPr>
              <w:t>)</w:t>
            </w:r>
          </w:p>
        </w:tc>
        <w:tc>
          <w:tcPr>
            <w:tcW w:w="2693" w:type="dxa"/>
          </w:tcPr>
          <w:p w14:paraId="26278A47" w14:textId="6CFD2F34" w:rsidR="00141C40" w:rsidRPr="002C506A" w:rsidRDefault="00814609" w:rsidP="00DE3A1D">
            <w:pPr>
              <w:rPr>
                <w:sz w:val="22"/>
                <w:szCs w:val="22"/>
              </w:rPr>
            </w:pPr>
            <w:r>
              <w:rPr>
                <w:sz w:val="22"/>
                <w:szCs w:val="22"/>
              </w:rPr>
              <w:t>2.</w:t>
            </w:r>
            <w:r w:rsidR="00AA3B1A">
              <w:rPr>
                <w:sz w:val="22"/>
                <w:szCs w:val="22"/>
              </w:rPr>
              <w:t>7</w:t>
            </w:r>
            <w:r>
              <w:rPr>
                <w:sz w:val="22"/>
                <w:szCs w:val="22"/>
              </w:rPr>
              <w:t xml:space="preserve"> (2.</w:t>
            </w:r>
            <w:r w:rsidR="00D1630C">
              <w:rPr>
                <w:sz w:val="22"/>
                <w:szCs w:val="22"/>
              </w:rPr>
              <w:t>2</w:t>
            </w:r>
            <w:r>
              <w:rPr>
                <w:sz w:val="22"/>
                <w:szCs w:val="22"/>
              </w:rPr>
              <w:t>-3.</w:t>
            </w:r>
            <w:r w:rsidR="00F56BE0">
              <w:rPr>
                <w:sz w:val="22"/>
                <w:szCs w:val="22"/>
              </w:rPr>
              <w:t>2</w:t>
            </w:r>
            <w:r w:rsidR="008E0255">
              <w:rPr>
                <w:sz w:val="22"/>
                <w:szCs w:val="22"/>
              </w:rPr>
              <w:t xml:space="preserve">); CV: </w:t>
            </w:r>
            <w:r w:rsidR="00AA3B1A">
              <w:rPr>
                <w:sz w:val="22"/>
                <w:szCs w:val="22"/>
              </w:rPr>
              <w:t>9</w:t>
            </w:r>
            <w:r w:rsidR="008E0255">
              <w:rPr>
                <w:sz w:val="22"/>
                <w:szCs w:val="22"/>
              </w:rPr>
              <w:t>.</w:t>
            </w:r>
            <w:r w:rsidR="002052B1">
              <w:rPr>
                <w:sz w:val="22"/>
                <w:szCs w:val="22"/>
              </w:rPr>
              <w:t>1</w:t>
            </w:r>
            <w:r w:rsidR="008E0255">
              <w:rPr>
                <w:sz w:val="22"/>
                <w:szCs w:val="22"/>
              </w:rPr>
              <w:t>%</w:t>
            </w:r>
          </w:p>
        </w:tc>
        <w:tc>
          <w:tcPr>
            <w:tcW w:w="2835" w:type="dxa"/>
          </w:tcPr>
          <w:p w14:paraId="55F085DB" w14:textId="5C5F87A7" w:rsidR="00141C40" w:rsidRPr="002C506A" w:rsidRDefault="00D1630C" w:rsidP="00DE3A1D">
            <w:pPr>
              <w:rPr>
                <w:sz w:val="22"/>
                <w:szCs w:val="22"/>
              </w:rPr>
            </w:pPr>
            <w:r>
              <w:rPr>
                <w:sz w:val="22"/>
                <w:szCs w:val="22"/>
              </w:rPr>
              <w:t>2.</w:t>
            </w:r>
            <w:r w:rsidR="006A2866">
              <w:rPr>
                <w:sz w:val="22"/>
                <w:szCs w:val="22"/>
              </w:rPr>
              <w:t>8</w:t>
            </w:r>
            <w:r w:rsidR="008B338F">
              <w:rPr>
                <w:sz w:val="22"/>
                <w:szCs w:val="22"/>
              </w:rPr>
              <w:t xml:space="preserve"> (2.</w:t>
            </w:r>
            <w:r w:rsidR="006A2866">
              <w:rPr>
                <w:sz w:val="22"/>
                <w:szCs w:val="22"/>
              </w:rPr>
              <w:t>3</w:t>
            </w:r>
            <w:r w:rsidR="008B338F">
              <w:rPr>
                <w:sz w:val="22"/>
                <w:szCs w:val="22"/>
              </w:rPr>
              <w:t>-3.</w:t>
            </w:r>
            <w:r w:rsidR="00F56BE0">
              <w:rPr>
                <w:sz w:val="22"/>
                <w:szCs w:val="22"/>
              </w:rPr>
              <w:t>3</w:t>
            </w:r>
            <w:r w:rsidR="008B338F">
              <w:rPr>
                <w:sz w:val="22"/>
                <w:szCs w:val="22"/>
              </w:rPr>
              <w:t>); CV: 9.</w:t>
            </w:r>
            <w:r w:rsidR="00F56BE0">
              <w:rPr>
                <w:sz w:val="22"/>
                <w:szCs w:val="22"/>
              </w:rPr>
              <w:t>3</w:t>
            </w:r>
            <w:r w:rsidR="008B338F">
              <w:rPr>
                <w:sz w:val="22"/>
                <w:szCs w:val="22"/>
              </w:rPr>
              <w:t>%</w:t>
            </w:r>
          </w:p>
        </w:tc>
        <w:tc>
          <w:tcPr>
            <w:tcW w:w="2552" w:type="dxa"/>
          </w:tcPr>
          <w:p w14:paraId="074C0804" w14:textId="37B12F32" w:rsidR="00141C40" w:rsidRPr="002C506A" w:rsidRDefault="008F23D4" w:rsidP="00DE3A1D">
            <w:pPr>
              <w:rPr>
                <w:sz w:val="22"/>
                <w:szCs w:val="22"/>
              </w:rPr>
            </w:pPr>
            <w:r>
              <w:rPr>
                <w:sz w:val="22"/>
                <w:szCs w:val="22"/>
              </w:rPr>
              <w:t>2</w:t>
            </w:r>
            <w:r w:rsidR="000D6761">
              <w:rPr>
                <w:sz w:val="22"/>
                <w:szCs w:val="22"/>
              </w:rPr>
              <w:t>.</w:t>
            </w:r>
            <w:r>
              <w:rPr>
                <w:sz w:val="22"/>
                <w:szCs w:val="22"/>
              </w:rPr>
              <w:t>9</w:t>
            </w:r>
            <w:r w:rsidR="000D6761">
              <w:rPr>
                <w:sz w:val="22"/>
                <w:szCs w:val="22"/>
              </w:rPr>
              <w:t xml:space="preserve"> (2.</w:t>
            </w:r>
            <w:r>
              <w:rPr>
                <w:sz w:val="22"/>
                <w:szCs w:val="22"/>
              </w:rPr>
              <w:t>4</w:t>
            </w:r>
            <w:r w:rsidR="000D6761">
              <w:rPr>
                <w:sz w:val="22"/>
                <w:szCs w:val="22"/>
              </w:rPr>
              <w:t>-3.</w:t>
            </w:r>
            <w:r w:rsidR="00014A66">
              <w:rPr>
                <w:sz w:val="22"/>
                <w:szCs w:val="22"/>
              </w:rPr>
              <w:t>5</w:t>
            </w:r>
            <w:r w:rsidR="000D6761">
              <w:rPr>
                <w:sz w:val="22"/>
                <w:szCs w:val="22"/>
              </w:rPr>
              <w:t>); 9.</w:t>
            </w:r>
            <w:r w:rsidR="00014A66">
              <w:rPr>
                <w:sz w:val="22"/>
                <w:szCs w:val="22"/>
              </w:rPr>
              <w:t>7</w:t>
            </w:r>
            <w:r w:rsidR="000D6761">
              <w:rPr>
                <w:sz w:val="22"/>
                <w:szCs w:val="22"/>
              </w:rPr>
              <w:t>%</w:t>
            </w:r>
          </w:p>
        </w:tc>
      </w:tr>
    </w:tbl>
    <w:p w14:paraId="6E5E795D" w14:textId="2EE57015" w:rsidR="00141C40" w:rsidRPr="00141C40" w:rsidRDefault="00163868" w:rsidP="00DE3A1D">
      <w:r>
        <w:rPr>
          <w:b/>
          <w:bCs/>
        </w:rPr>
        <w:t>Table</w:t>
      </w:r>
      <w:r w:rsidR="00141C40">
        <w:rPr>
          <w:b/>
          <w:bCs/>
        </w:rPr>
        <w:t xml:space="preserve"> </w:t>
      </w:r>
      <w:r w:rsidR="00A54313">
        <w:rPr>
          <w:b/>
          <w:bCs/>
        </w:rPr>
        <w:t>4</w:t>
      </w:r>
      <w:r w:rsidR="00141C40">
        <w:rPr>
          <w:b/>
          <w:bCs/>
        </w:rPr>
        <w:t xml:space="preserve"> </w:t>
      </w:r>
      <w:r w:rsidR="000B5AB0">
        <w:t>Summary of cumulative PSA results</w:t>
      </w:r>
      <w:r w:rsidR="0006077C">
        <w:t xml:space="preserve">. 2024£ costs. </w:t>
      </w:r>
    </w:p>
    <w:p w14:paraId="28AF3E40" w14:textId="77777777" w:rsidR="00141C40" w:rsidRPr="00AE6F84" w:rsidRDefault="00141C40" w:rsidP="00DE3A1D"/>
    <w:p w14:paraId="3543B3F4" w14:textId="364DC999" w:rsidR="00C639A8" w:rsidRDefault="001B741E" w:rsidP="00DE3A1D">
      <w:r w:rsidRPr="00AE6F84">
        <w:t xml:space="preserve">The results of our one-way sensitivity analysis are summarised in </w:t>
      </w:r>
      <w:r w:rsidR="00163868">
        <w:t>Table</w:t>
      </w:r>
      <w:r w:rsidRPr="00AE6F84">
        <w:t xml:space="preserve"> </w:t>
      </w:r>
      <w:r w:rsidR="00D92543">
        <w:t>5</w:t>
      </w:r>
      <w:r w:rsidR="00192319">
        <w:t xml:space="preserve"> (full results in Supplementary Material, Table XXX)</w:t>
      </w:r>
      <w:r w:rsidRPr="00AE6F84">
        <w:t xml:space="preserve">. </w:t>
      </w:r>
      <w:r w:rsidR="00353BEB">
        <w:t xml:space="preserve">Using </w:t>
      </w:r>
      <w:r w:rsidR="00323B9E" w:rsidRPr="00323B9E">
        <w:t>the lower HR reduced total costs, caregiver QALYs, and incident dementia onsets by 8%–13% across scenarios</w:t>
      </w:r>
      <w:r w:rsidR="00323B9E">
        <w:t xml:space="preserve">. </w:t>
      </w:r>
      <w:r w:rsidR="0009310C" w:rsidRPr="0009310C">
        <w:t xml:space="preserve">Total population QALYs were largely insensitive to HR variation, changing by only ±3% across all </w:t>
      </w:r>
      <w:r w:rsidR="0009310C" w:rsidRPr="0009310C">
        <w:lastRenderedPageBreak/>
        <w:t>scenarios</w:t>
      </w:r>
      <w:r w:rsidR="0009310C">
        <w:t xml:space="preserve">. </w:t>
      </w:r>
      <w:r w:rsidR="00806BC1">
        <w:t>All results behaved as expected</w:t>
      </w:r>
      <w:r w:rsidR="004713BA">
        <w:t xml:space="preserve">, </w:t>
      </w:r>
      <w:r w:rsidR="0088265A">
        <w:t>except</w:t>
      </w:r>
      <w:r w:rsidR="004713BA">
        <w:t xml:space="preserve"> </w:t>
      </w:r>
      <w:r w:rsidR="0088265A">
        <w:t xml:space="preserve">the fall in total incident onsets under 25% PD prevalence when the upper bound HR was used. </w:t>
      </w:r>
      <w:r w:rsidR="00834096">
        <w:t xml:space="preserve">For all other outputs, using the upper HR led to </w:t>
      </w:r>
      <w:r w:rsidR="00ED1F67" w:rsidRPr="00ED1F67">
        <w:t>total costs falling by 1%–5% and incident onsets increasing by up to 3% under the 75% PD prevalence scenario</w:t>
      </w:r>
      <w:r w:rsidR="00ED1F67">
        <w:t>.</w:t>
      </w:r>
      <w:r w:rsidR="00780C7C">
        <w:t xml:space="preserve"> </w:t>
      </w:r>
    </w:p>
    <w:p w14:paraId="2326E11D" w14:textId="77777777" w:rsidR="007632BB" w:rsidRDefault="007632BB" w:rsidP="00DE3A1D"/>
    <w:tbl>
      <w:tblPr>
        <w:tblStyle w:val="TableGrid"/>
        <w:tblW w:w="11199" w:type="dxa"/>
        <w:tblInd w:w="-998" w:type="dxa"/>
        <w:tblLook w:val="04A0" w:firstRow="1" w:lastRow="0" w:firstColumn="1" w:lastColumn="0" w:noHBand="0" w:noVBand="1"/>
      </w:tblPr>
      <w:tblGrid>
        <w:gridCol w:w="1332"/>
        <w:gridCol w:w="1362"/>
        <w:gridCol w:w="2350"/>
        <w:gridCol w:w="2045"/>
        <w:gridCol w:w="1984"/>
        <w:gridCol w:w="2126"/>
      </w:tblGrid>
      <w:tr w:rsidR="00631A69" w:rsidRPr="00EB3257" w14:paraId="38F5A60F" w14:textId="77777777" w:rsidTr="00121A69">
        <w:tc>
          <w:tcPr>
            <w:tcW w:w="1332" w:type="dxa"/>
          </w:tcPr>
          <w:p w14:paraId="019AF1AE" w14:textId="05646917" w:rsidR="00631A69" w:rsidRPr="00EB3257" w:rsidRDefault="00631A69" w:rsidP="00DE3A1D">
            <w:pPr>
              <w:rPr>
                <w:b/>
                <w:bCs/>
                <w:sz w:val="22"/>
                <w:szCs w:val="22"/>
              </w:rPr>
            </w:pPr>
            <w:r w:rsidRPr="00EB3257">
              <w:rPr>
                <w:b/>
                <w:bCs/>
                <w:sz w:val="22"/>
                <w:szCs w:val="22"/>
              </w:rPr>
              <w:t>PD prevalence</w:t>
            </w:r>
          </w:p>
        </w:tc>
        <w:tc>
          <w:tcPr>
            <w:tcW w:w="1362" w:type="dxa"/>
          </w:tcPr>
          <w:p w14:paraId="30364108" w14:textId="29F5BE4B" w:rsidR="00631A69" w:rsidRPr="00EB3257" w:rsidRDefault="00631A69" w:rsidP="00DE3A1D">
            <w:pPr>
              <w:rPr>
                <w:b/>
                <w:bCs/>
                <w:sz w:val="22"/>
                <w:szCs w:val="22"/>
              </w:rPr>
            </w:pPr>
            <w:r w:rsidRPr="00EB3257">
              <w:rPr>
                <w:b/>
                <w:bCs/>
                <w:sz w:val="22"/>
                <w:szCs w:val="22"/>
              </w:rPr>
              <w:t>HR  Used</w:t>
            </w:r>
          </w:p>
        </w:tc>
        <w:tc>
          <w:tcPr>
            <w:tcW w:w="2350" w:type="dxa"/>
          </w:tcPr>
          <w:p w14:paraId="2C6998D0" w14:textId="45829E91" w:rsidR="00631A69" w:rsidRPr="00EB3257" w:rsidRDefault="00631A69" w:rsidP="00DE3A1D">
            <w:pPr>
              <w:rPr>
                <w:b/>
                <w:bCs/>
                <w:sz w:val="22"/>
                <w:szCs w:val="22"/>
              </w:rPr>
            </w:pPr>
            <w:r w:rsidRPr="00EB3257">
              <w:rPr>
                <w:b/>
                <w:bCs/>
                <w:sz w:val="22"/>
                <w:szCs w:val="22"/>
              </w:rPr>
              <w:t>Total Costs</w:t>
            </w:r>
            <w:r w:rsidR="00006044">
              <w:rPr>
                <w:b/>
                <w:bCs/>
                <w:sz w:val="22"/>
                <w:szCs w:val="22"/>
              </w:rPr>
              <w:t xml:space="preserve"> </w:t>
            </w:r>
            <w:r w:rsidR="008510A0">
              <w:rPr>
                <w:b/>
                <w:bCs/>
                <w:sz w:val="22"/>
                <w:szCs w:val="22"/>
              </w:rPr>
              <w:t xml:space="preserve">(% change from baseline) </w:t>
            </w:r>
          </w:p>
        </w:tc>
        <w:tc>
          <w:tcPr>
            <w:tcW w:w="2045" w:type="dxa"/>
          </w:tcPr>
          <w:p w14:paraId="6A183EC9" w14:textId="0E05E17E" w:rsidR="00631A69" w:rsidRPr="00EB3257" w:rsidRDefault="00631A69" w:rsidP="00DE3A1D">
            <w:pPr>
              <w:rPr>
                <w:b/>
                <w:bCs/>
                <w:sz w:val="22"/>
                <w:szCs w:val="22"/>
              </w:rPr>
            </w:pPr>
            <w:r w:rsidRPr="00EB3257">
              <w:rPr>
                <w:b/>
                <w:bCs/>
                <w:sz w:val="22"/>
                <w:szCs w:val="22"/>
              </w:rPr>
              <w:t xml:space="preserve">Total </w:t>
            </w:r>
            <w:r>
              <w:rPr>
                <w:b/>
                <w:bCs/>
                <w:sz w:val="22"/>
                <w:szCs w:val="22"/>
              </w:rPr>
              <w:t>p</w:t>
            </w:r>
            <w:r w:rsidRPr="00EB3257">
              <w:rPr>
                <w:b/>
                <w:bCs/>
                <w:sz w:val="22"/>
                <w:szCs w:val="22"/>
              </w:rPr>
              <w:t>opulation QALYs</w:t>
            </w:r>
            <w:r>
              <w:rPr>
                <w:b/>
                <w:bCs/>
                <w:sz w:val="22"/>
                <w:szCs w:val="22"/>
              </w:rPr>
              <w:t xml:space="preserve">* </w:t>
            </w:r>
            <w:r w:rsidR="008510A0">
              <w:rPr>
                <w:b/>
                <w:bCs/>
                <w:sz w:val="22"/>
                <w:szCs w:val="22"/>
              </w:rPr>
              <w:t>(% change from baseline)</w:t>
            </w:r>
          </w:p>
        </w:tc>
        <w:tc>
          <w:tcPr>
            <w:tcW w:w="1984" w:type="dxa"/>
          </w:tcPr>
          <w:p w14:paraId="60FE3FA3" w14:textId="5F90459A" w:rsidR="00631A69" w:rsidRPr="00EB3257" w:rsidRDefault="00631A69" w:rsidP="00DE3A1D">
            <w:pPr>
              <w:rPr>
                <w:b/>
                <w:bCs/>
                <w:sz w:val="22"/>
                <w:szCs w:val="22"/>
              </w:rPr>
            </w:pPr>
            <w:r>
              <w:rPr>
                <w:b/>
                <w:bCs/>
                <w:sz w:val="22"/>
                <w:szCs w:val="22"/>
              </w:rPr>
              <w:t>Total caregiver QALYs</w:t>
            </w:r>
            <w:r w:rsidR="008510A0">
              <w:rPr>
                <w:b/>
                <w:bCs/>
                <w:sz w:val="22"/>
                <w:szCs w:val="22"/>
              </w:rPr>
              <w:t xml:space="preserve"> (% change from baseline)</w:t>
            </w:r>
          </w:p>
        </w:tc>
        <w:tc>
          <w:tcPr>
            <w:tcW w:w="2126" w:type="dxa"/>
          </w:tcPr>
          <w:p w14:paraId="3F2D97B3" w14:textId="278DDBF5" w:rsidR="00631A69" w:rsidRPr="00EB3257" w:rsidRDefault="00631A69" w:rsidP="00DE3A1D">
            <w:pPr>
              <w:rPr>
                <w:b/>
                <w:bCs/>
                <w:sz w:val="22"/>
                <w:szCs w:val="22"/>
              </w:rPr>
            </w:pPr>
            <w:r w:rsidRPr="00EB3257">
              <w:rPr>
                <w:b/>
                <w:bCs/>
                <w:sz w:val="22"/>
                <w:szCs w:val="22"/>
              </w:rPr>
              <w:t xml:space="preserve">Total Incident Onsets </w:t>
            </w:r>
            <w:r w:rsidR="008510A0">
              <w:rPr>
                <w:b/>
                <w:bCs/>
                <w:sz w:val="22"/>
                <w:szCs w:val="22"/>
              </w:rPr>
              <w:t>(% change from baseline)</w:t>
            </w:r>
          </w:p>
        </w:tc>
      </w:tr>
      <w:tr w:rsidR="00631A69" w:rsidRPr="00EB3257" w14:paraId="0F600A22" w14:textId="77777777" w:rsidTr="00121A69">
        <w:tc>
          <w:tcPr>
            <w:tcW w:w="1332" w:type="dxa"/>
          </w:tcPr>
          <w:p w14:paraId="7271BD12" w14:textId="47D1B9D6" w:rsidR="00631A69" w:rsidRPr="00EB3257" w:rsidRDefault="00631A69" w:rsidP="00A70D0E">
            <w:pPr>
              <w:rPr>
                <w:b/>
                <w:bCs/>
                <w:sz w:val="22"/>
                <w:szCs w:val="22"/>
              </w:rPr>
            </w:pPr>
            <w:r w:rsidRPr="00EB3257">
              <w:rPr>
                <w:b/>
                <w:bCs/>
                <w:sz w:val="22"/>
                <w:szCs w:val="22"/>
              </w:rPr>
              <w:t>75%</w:t>
            </w:r>
          </w:p>
        </w:tc>
        <w:tc>
          <w:tcPr>
            <w:tcW w:w="1362" w:type="dxa"/>
          </w:tcPr>
          <w:p w14:paraId="106F4F62" w14:textId="40074128" w:rsidR="00631A69" w:rsidRPr="00EB3257" w:rsidRDefault="00631A69" w:rsidP="00A70D0E">
            <w:pPr>
              <w:rPr>
                <w:i/>
                <w:iCs/>
                <w:sz w:val="22"/>
                <w:szCs w:val="22"/>
              </w:rPr>
            </w:pPr>
            <w:r w:rsidRPr="00EB3257">
              <w:rPr>
                <w:i/>
                <w:iCs/>
                <w:sz w:val="22"/>
                <w:szCs w:val="22"/>
              </w:rPr>
              <w:t>High (1.38)</w:t>
            </w:r>
          </w:p>
        </w:tc>
        <w:tc>
          <w:tcPr>
            <w:tcW w:w="2350" w:type="dxa"/>
          </w:tcPr>
          <w:p w14:paraId="16739B8A" w14:textId="77777777" w:rsidR="003961B7" w:rsidRDefault="003961B7" w:rsidP="003961B7">
            <w:pPr>
              <w:rPr>
                <w:rFonts w:ascii="Calibri" w:hAnsi="Calibri" w:cs="Calibri"/>
                <w:color w:val="000000"/>
                <w:sz w:val="22"/>
                <w:szCs w:val="22"/>
              </w:rPr>
            </w:pPr>
            <w:r>
              <w:rPr>
                <w:rFonts w:ascii="Calibri" w:hAnsi="Calibri" w:cs="Calibri"/>
                <w:color w:val="000000"/>
                <w:sz w:val="22"/>
                <w:szCs w:val="22"/>
              </w:rPr>
              <w:t xml:space="preserve">£  643,958,973,993.60 </w:t>
            </w:r>
          </w:p>
          <w:p w14:paraId="19450F30" w14:textId="4698898F" w:rsidR="00631A69" w:rsidRPr="00183346" w:rsidRDefault="003961B7" w:rsidP="00A70D0E">
            <w:pPr>
              <w:rPr>
                <w:rFonts w:ascii="Calibri" w:hAnsi="Calibri" w:cs="Calibri"/>
                <w:color w:val="000000"/>
                <w:sz w:val="22"/>
                <w:szCs w:val="22"/>
              </w:rPr>
            </w:pPr>
            <w:r>
              <w:rPr>
                <w:rFonts w:ascii="Calibri" w:hAnsi="Calibri" w:cs="Calibri"/>
                <w:color w:val="000000"/>
                <w:sz w:val="22"/>
                <w:szCs w:val="22"/>
              </w:rPr>
              <w:t>(-1)</w:t>
            </w:r>
          </w:p>
        </w:tc>
        <w:tc>
          <w:tcPr>
            <w:tcW w:w="2045" w:type="dxa"/>
          </w:tcPr>
          <w:p w14:paraId="33BF2024" w14:textId="77777777" w:rsidR="00195FC1" w:rsidRDefault="00195FC1" w:rsidP="00195FC1">
            <w:pPr>
              <w:rPr>
                <w:rFonts w:ascii="Calibri" w:hAnsi="Calibri" w:cs="Calibri"/>
                <w:color w:val="000000"/>
                <w:sz w:val="22"/>
                <w:szCs w:val="22"/>
              </w:rPr>
            </w:pPr>
            <w:r>
              <w:rPr>
                <w:rFonts w:ascii="Calibri" w:hAnsi="Calibri" w:cs="Calibri"/>
                <w:color w:val="000000"/>
                <w:sz w:val="22"/>
                <w:szCs w:val="22"/>
              </w:rPr>
              <w:t xml:space="preserve">   136,230,776.09 </w:t>
            </w:r>
          </w:p>
          <w:p w14:paraId="09645AD7" w14:textId="230F58F4" w:rsidR="00631A69" w:rsidRPr="00EB3257" w:rsidRDefault="00195FC1" w:rsidP="00A70D0E">
            <w:pPr>
              <w:rPr>
                <w:sz w:val="22"/>
                <w:szCs w:val="22"/>
              </w:rPr>
            </w:pPr>
            <w:r>
              <w:rPr>
                <w:sz w:val="22"/>
                <w:szCs w:val="22"/>
              </w:rPr>
              <w:t>(-3)</w:t>
            </w:r>
          </w:p>
        </w:tc>
        <w:tc>
          <w:tcPr>
            <w:tcW w:w="1984" w:type="dxa"/>
          </w:tcPr>
          <w:p w14:paraId="757A1EA5" w14:textId="77777777" w:rsidR="00192E5A" w:rsidRDefault="00192E5A" w:rsidP="00192E5A">
            <w:pPr>
              <w:rPr>
                <w:rFonts w:ascii="Calibri" w:hAnsi="Calibri" w:cs="Calibri"/>
                <w:color w:val="000000"/>
                <w:sz w:val="22"/>
                <w:szCs w:val="22"/>
              </w:rPr>
            </w:pPr>
            <w:r>
              <w:rPr>
                <w:rFonts w:ascii="Calibri" w:hAnsi="Calibri" w:cs="Calibri"/>
                <w:color w:val="000000"/>
                <w:sz w:val="22"/>
                <w:szCs w:val="22"/>
              </w:rPr>
              <w:t xml:space="preserve">   10,981,842.40 </w:t>
            </w:r>
          </w:p>
          <w:p w14:paraId="6D9F040A" w14:textId="3AC88340" w:rsidR="00631A69" w:rsidRPr="00EB3257" w:rsidRDefault="00192E5A" w:rsidP="00A70D0E">
            <w:pPr>
              <w:rPr>
                <w:sz w:val="22"/>
                <w:szCs w:val="22"/>
              </w:rPr>
            </w:pPr>
            <w:r>
              <w:rPr>
                <w:sz w:val="22"/>
                <w:szCs w:val="22"/>
              </w:rPr>
              <w:t>(1)</w:t>
            </w:r>
          </w:p>
        </w:tc>
        <w:tc>
          <w:tcPr>
            <w:tcW w:w="2126" w:type="dxa"/>
          </w:tcPr>
          <w:p w14:paraId="2AB0848E" w14:textId="77777777" w:rsidR="00E511A0" w:rsidRDefault="00E511A0" w:rsidP="00E511A0">
            <w:pPr>
              <w:rPr>
                <w:rFonts w:ascii="Calibri" w:hAnsi="Calibri" w:cs="Calibri"/>
                <w:color w:val="000000"/>
                <w:sz w:val="22"/>
                <w:szCs w:val="22"/>
              </w:rPr>
            </w:pPr>
            <w:r>
              <w:rPr>
                <w:rFonts w:ascii="Calibri" w:hAnsi="Calibri" w:cs="Calibri"/>
                <w:color w:val="000000"/>
                <w:sz w:val="22"/>
                <w:szCs w:val="22"/>
              </w:rPr>
              <w:t xml:space="preserve">         3,087,083 </w:t>
            </w:r>
          </w:p>
          <w:p w14:paraId="69FD98A2" w14:textId="7EB539AC" w:rsidR="00631A69" w:rsidRPr="00EB3257" w:rsidRDefault="00E511A0" w:rsidP="00A70D0E">
            <w:pPr>
              <w:rPr>
                <w:sz w:val="22"/>
                <w:szCs w:val="22"/>
              </w:rPr>
            </w:pPr>
            <w:r>
              <w:rPr>
                <w:sz w:val="22"/>
                <w:szCs w:val="22"/>
              </w:rPr>
              <w:t>(3)</w:t>
            </w:r>
          </w:p>
        </w:tc>
      </w:tr>
      <w:tr w:rsidR="00631A69" w:rsidRPr="00EB3257" w14:paraId="40466079" w14:textId="77777777" w:rsidTr="00121A69">
        <w:tc>
          <w:tcPr>
            <w:tcW w:w="1332" w:type="dxa"/>
          </w:tcPr>
          <w:p w14:paraId="727161FC" w14:textId="77777777" w:rsidR="00631A69" w:rsidRPr="00EB3257" w:rsidRDefault="00631A69" w:rsidP="00A70D0E">
            <w:pPr>
              <w:rPr>
                <w:b/>
                <w:bCs/>
                <w:sz w:val="22"/>
                <w:szCs w:val="22"/>
              </w:rPr>
            </w:pPr>
          </w:p>
        </w:tc>
        <w:tc>
          <w:tcPr>
            <w:tcW w:w="1362" w:type="dxa"/>
          </w:tcPr>
          <w:p w14:paraId="02C90420" w14:textId="3D13C208" w:rsidR="00631A69" w:rsidRPr="00EB3257" w:rsidRDefault="00631A69" w:rsidP="00A70D0E">
            <w:pPr>
              <w:rPr>
                <w:i/>
                <w:iCs/>
                <w:sz w:val="22"/>
                <w:szCs w:val="22"/>
              </w:rPr>
            </w:pPr>
            <w:r w:rsidRPr="00EB3257">
              <w:rPr>
                <w:i/>
                <w:iCs/>
                <w:sz w:val="22"/>
                <w:szCs w:val="22"/>
              </w:rPr>
              <w:t>Low (1.07)</w:t>
            </w:r>
          </w:p>
        </w:tc>
        <w:tc>
          <w:tcPr>
            <w:tcW w:w="2350" w:type="dxa"/>
          </w:tcPr>
          <w:p w14:paraId="54CAC27E" w14:textId="77777777" w:rsidR="003961B7" w:rsidRDefault="003961B7" w:rsidP="003961B7">
            <w:pPr>
              <w:rPr>
                <w:rFonts w:ascii="Calibri" w:hAnsi="Calibri" w:cs="Calibri"/>
                <w:color w:val="000000"/>
                <w:sz w:val="22"/>
                <w:szCs w:val="22"/>
              </w:rPr>
            </w:pPr>
            <w:r>
              <w:rPr>
                <w:rFonts w:ascii="Calibri" w:hAnsi="Calibri" w:cs="Calibri"/>
                <w:color w:val="000000"/>
                <w:sz w:val="22"/>
                <w:szCs w:val="22"/>
              </w:rPr>
              <w:t xml:space="preserve">£  564,567,763,775.41 </w:t>
            </w:r>
          </w:p>
          <w:p w14:paraId="74AFF199" w14:textId="3812C3C6" w:rsidR="00631A69" w:rsidRPr="00EB3257" w:rsidRDefault="003961B7" w:rsidP="00A70D0E">
            <w:pPr>
              <w:rPr>
                <w:sz w:val="22"/>
                <w:szCs w:val="22"/>
              </w:rPr>
            </w:pPr>
            <w:r>
              <w:rPr>
                <w:sz w:val="22"/>
                <w:szCs w:val="22"/>
              </w:rPr>
              <w:t>(-13)</w:t>
            </w:r>
          </w:p>
        </w:tc>
        <w:tc>
          <w:tcPr>
            <w:tcW w:w="2045" w:type="dxa"/>
          </w:tcPr>
          <w:p w14:paraId="40B92C82" w14:textId="77777777" w:rsidR="00195FC1" w:rsidRDefault="00195FC1" w:rsidP="00195FC1">
            <w:pPr>
              <w:rPr>
                <w:rFonts w:ascii="Calibri" w:hAnsi="Calibri" w:cs="Calibri"/>
                <w:color w:val="000000"/>
                <w:sz w:val="22"/>
                <w:szCs w:val="22"/>
              </w:rPr>
            </w:pPr>
            <w:r>
              <w:rPr>
                <w:rFonts w:ascii="Calibri" w:hAnsi="Calibri" w:cs="Calibri"/>
                <w:color w:val="000000"/>
                <w:sz w:val="22"/>
                <w:szCs w:val="22"/>
              </w:rPr>
              <w:t xml:space="preserve">   136,915,148.84 </w:t>
            </w:r>
          </w:p>
          <w:p w14:paraId="1CD480B5" w14:textId="4593052C" w:rsidR="00631A69" w:rsidRPr="00EB3257" w:rsidRDefault="00195FC1" w:rsidP="00A70D0E">
            <w:pPr>
              <w:rPr>
                <w:sz w:val="22"/>
                <w:szCs w:val="22"/>
              </w:rPr>
            </w:pPr>
            <w:r>
              <w:rPr>
                <w:sz w:val="22"/>
                <w:szCs w:val="22"/>
              </w:rPr>
              <w:t>(-3)</w:t>
            </w:r>
          </w:p>
        </w:tc>
        <w:tc>
          <w:tcPr>
            <w:tcW w:w="1984" w:type="dxa"/>
          </w:tcPr>
          <w:p w14:paraId="0F7F5291" w14:textId="77777777" w:rsidR="00192E5A" w:rsidRDefault="00192E5A" w:rsidP="00192E5A">
            <w:pPr>
              <w:rPr>
                <w:rFonts w:ascii="Calibri" w:hAnsi="Calibri" w:cs="Calibri"/>
                <w:color w:val="000000"/>
                <w:sz w:val="22"/>
                <w:szCs w:val="22"/>
              </w:rPr>
            </w:pPr>
            <w:r>
              <w:rPr>
                <w:rFonts w:ascii="Calibri" w:hAnsi="Calibri" w:cs="Calibri"/>
                <w:color w:val="000000"/>
                <w:sz w:val="22"/>
                <w:szCs w:val="22"/>
              </w:rPr>
              <w:t xml:space="preserve">     9,545,927.86 </w:t>
            </w:r>
          </w:p>
          <w:p w14:paraId="4F59A210" w14:textId="431450AA" w:rsidR="00631A69" w:rsidRPr="00EB3257" w:rsidRDefault="00192E5A" w:rsidP="00A70D0E">
            <w:pPr>
              <w:rPr>
                <w:sz w:val="22"/>
                <w:szCs w:val="22"/>
              </w:rPr>
            </w:pPr>
            <w:r>
              <w:rPr>
                <w:sz w:val="22"/>
                <w:szCs w:val="22"/>
              </w:rPr>
              <w:t>(-12)</w:t>
            </w:r>
          </w:p>
        </w:tc>
        <w:tc>
          <w:tcPr>
            <w:tcW w:w="2126" w:type="dxa"/>
          </w:tcPr>
          <w:p w14:paraId="24C7E784" w14:textId="77777777" w:rsidR="00E03079" w:rsidRDefault="00E03079" w:rsidP="00E03079">
            <w:pPr>
              <w:rPr>
                <w:rFonts w:ascii="Calibri" w:hAnsi="Calibri" w:cs="Calibri"/>
                <w:color w:val="000000"/>
                <w:sz w:val="22"/>
                <w:szCs w:val="22"/>
              </w:rPr>
            </w:pPr>
            <w:r>
              <w:rPr>
                <w:rFonts w:ascii="Calibri" w:hAnsi="Calibri" w:cs="Calibri"/>
                <w:color w:val="000000"/>
                <w:sz w:val="22"/>
                <w:szCs w:val="22"/>
              </w:rPr>
              <w:t xml:space="preserve">         2,621,631 </w:t>
            </w:r>
          </w:p>
          <w:p w14:paraId="1F5A6F8E" w14:textId="7A6D5C5E" w:rsidR="00631A69" w:rsidRPr="00EB3257" w:rsidRDefault="00E03079" w:rsidP="00A70D0E">
            <w:pPr>
              <w:rPr>
                <w:sz w:val="22"/>
                <w:szCs w:val="22"/>
              </w:rPr>
            </w:pPr>
            <w:r>
              <w:rPr>
                <w:sz w:val="22"/>
                <w:szCs w:val="22"/>
              </w:rPr>
              <w:t>(-13)</w:t>
            </w:r>
          </w:p>
        </w:tc>
      </w:tr>
      <w:tr w:rsidR="00631A69" w:rsidRPr="00EB3257" w14:paraId="2F0E039B" w14:textId="77777777" w:rsidTr="00121A69">
        <w:tc>
          <w:tcPr>
            <w:tcW w:w="1332" w:type="dxa"/>
          </w:tcPr>
          <w:p w14:paraId="66EFE037" w14:textId="43A90343" w:rsidR="00631A69" w:rsidRPr="00EB3257" w:rsidRDefault="00631A69" w:rsidP="00EB3257">
            <w:pPr>
              <w:rPr>
                <w:b/>
                <w:bCs/>
                <w:sz w:val="22"/>
                <w:szCs w:val="22"/>
              </w:rPr>
            </w:pPr>
            <w:r w:rsidRPr="00EB3257">
              <w:rPr>
                <w:b/>
                <w:bCs/>
                <w:sz w:val="22"/>
                <w:szCs w:val="22"/>
              </w:rPr>
              <w:t xml:space="preserve">50% </w:t>
            </w:r>
          </w:p>
        </w:tc>
        <w:tc>
          <w:tcPr>
            <w:tcW w:w="1362" w:type="dxa"/>
          </w:tcPr>
          <w:p w14:paraId="1B798B27" w14:textId="38E7D002" w:rsidR="00631A69" w:rsidRPr="00EB3257" w:rsidRDefault="00631A69" w:rsidP="00EB3257">
            <w:pPr>
              <w:rPr>
                <w:i/>
                <w:iCs/>
                <w:sz w:val="22"/>
                <w:szCs w:val="22"/>
              </w:rPr>
            </w:pPr>
            <w:r w:rsidRPr="00EB3257">
              <w:rPr>
                <w:i/>
                <w:iCs/>
                <w:sz w:val="22"/>
                <w:szCs w:val="22"/>
              </w:rPr>
              <w:t>High (1.38)</w:t>
            </w:r>
          </w:p>
        </w:tc>
        <w:tc>
          <w:tcPr>
            <w:tcW w:w="2350" w:type="dxa"/>
          </w:tcPr>
          <w:p w14:paraId="58FC4A35" w14:textId="77777777" w:rsidR="002E64F1" w:rsidRDefault="002E64F1" w:rsidP="002E64F1">
            <w:pPr>
              <w:rPr>
                <w:rFonts w:ascii="Calibri" w:hAnsi="Calibri" w:cs="Calibri"/>
                <w:color w:val="000000"/>
                <w:sz w:val="22"/>
                <w:szCs w:val="22"/>
              </w:rPr>
            </w:pPr>
            <w:r>
              <w:rPr>
                <w:rFonts w:ascii="Calibri" w:hAnsi="Calibri" w:cs="Calibri"/>
                <w:color w:val="000000"/>
                <w:sz w:val="22"/>
                <w:szCs w:val="22"/>
              </w:rPr>
              <w:t xml:space="preserve">£  611,051,531,957.90 </w:t>
            </w:r>
          </w:p>
          <w:p w14:paraId="20DC2399" w14:textId="3D8D74BA" w:rsidR="00631A69" w:rsidRPr="00EB3257" w:rsidRDefault="002E64F1" w:rsidP="00EB3257">
            <w:pPr>
              <w:rPr>
                <w:sz w:val="22"/>
                <w:szCs w:val="22"/>
              </w:rPr>
            </w:pPr>
            <w:r>
              <w:rPr>
                <w:sz w:val="22"/>
                <w:szCs w:val="22"/>
              </w:rPr>
              <w:t>(-3)</w:t>
            </w:r>
          </w:p>
        </w:tc>
        <w:tc>
          <w:tcPr>
            <w:tcW w:w="2045" w:type="dxa"/>
          </w:tcPr>
          <w:p w14:paraId="61234961" w14:textId="77777777" w:rsidR="00780C7C" w:rsidRDefault="00780C7C" w:rsidP="00780C7C">
            <w:pPr>
              <w:rPr>
                <w:rFonts w:ascii="Calibri" w:hAnsi="Calibri" w:cs="Calibri"/>
                <w:color w:val="000000"/>
                <w:sz w:val="22"/>
                <w:szCs w:val="22"/>
              </w:rPr>
            </w:pPr>
            <w:r>
              <w:rPr>
                <w:rFonts w:ascii="Calibri" w:hAnsi="Calibri" w:cs="Calibri"/>
                <w:color w:val="000000"/>
                <w:sz w:val="22"/>
                <w:szCs w:val="22"/>
              </w:rPr>
              <w:t xml:space="preserve">   136,513,710.72 </w:t>
            </w:r>
          </w:p>
          <w:p w14:paraId="384E628C" w14:textId="54EDBA12" w:rsidR="00631A69" w:rsidRPr="00EB3257" w:rsidRDefault="00780C7C" w:rsidP="00EB3257">
            <w:pPr>
              <w:rPr>
                <w:sz w:val="22"/>
                <w:szCs w:val="22"/>
              </w:rPr>
            </w:pPr>
            <w:r>
              <w:rPr>
                <w:sz w:val="22"/>
                <w:szCs w:val="22"/>
              </w:rPr>
              <w:t>(-3)</w:t>
            </w:r>
          </w:p>
        </w:tc>
        <w:tc>
          <w:tcPr>
            <w:tcW w:w="1984" w:type="dxa"/>
          </w:tcPr>
          <w:p w14:paraId="16D5C54A" w14:textId="77777777" w:rsidR="00121A69" w:rsidRDefault="00121A69" w:rsidP="00121A69">
            <w:pPr>
              <w:rPr>
                <w:rFonts w:ascii="Calibri" w:hAnsi="Calibri" w:cs="Calibri"/>
                <w:color w:val="000000"/>
                <w:sz w:val="22"/>
                <w:szCs w:val="22"/>
              </w:rPr>
            </w:pPr>
            <w:r>
              <w:rPr>
                <w:rFonts w:ascii="Calibri" w:hAnsi="Calibri" w:cs="Calibri"/>
                <w:color w:val="000000"/>
                <w:sz w:val="22"/>
                <w:szCs w:val="22"/>
              </w:rPr>
              <w:t xml:space="preserve">   10,394,266.97 </w:t>
            </w:r>
          </w:p>
          <w:p w14:paraId="4F1BDE00" w14:textId="203AE4EC" w:rsidR="00631A69" w:rsidRPr="00EB3257" w:rsidRDefault="00121A69" w:rsidP="00EB3257">
            <w:pPr>
              <w:rPr>
                <w:sz w:val="22"/>
                <w:szCs w:val="22"/>
              </w:rPr>
            </w:pPr>
            <w:r>
              <w:rPr>
                <w:sz w:val="22"/>
                <w:szCs w:val="22"/>
              </w:rPr>
              <w:t>(-1)</w:t>
            </w:r>
          </w:p>
        </w:tc>
        <w:tc>
          <w:tcPr>
            <w:tcW w:w="2126" w:type="dxa"/>
          </w:tcPr>
          <w:p w14:paraId="52E90669" w14:textId="77777777" w:rsidR="00E03079" w:rsidRDefault="00E03079" w:rsidP="00E03079">
            <w:pPr>
              <w:rPr>
                <w:rFonts w:ascii="Calibri" w:hAnsi="Calibri" w:cs="Calibri"/>
                <w:color w:val="000000"/>
                <w:sz w:val="22"/>
                <w:szCs w:val="22"/>
              </w:rPr>
            </w:pPr>
            <w:r>
              <w:rPr>
                <w:rFonts w:ascii="Calibri" w:hAnsi="Calibri" w:cs="Calibri"/>
                <w:color w:val="000000"/>
                <w:sz w:val="22"/>
                <w:szCs w:val="22"/>
              </w:rPr>
              <w:t xml:space="preserve">         2,894,042 </w:t>
            </w:r>
          </w:p>
          <w:p w14:paraId="32277704" w14:textId="4C19F0D4" w:rsidR="00631A69" w:rsidRPr="00EB3257" w:rsidRDefault="00E03079" w:rsidP="00EB3257">
            <w:pPr>
              <w:rPr>
                <w:sz w:val="22"/>
                <w:szCs w:val="22"/>
              </w:rPr>
            </w:pPr>
            <w:r>
              <w:rPr>
                <w:sz w:val="22"/>
                <w:szCs w:val="22"/>
              </w:rPr>
              <w:t>(0)</w:t>
            </w:r>
          </w:p>
        </w:tc>
      </w:tr>
      <w:tr w:rsidR="00631A69" w:rsidRPr="00EB3257" w14:paraId="370345B3" w14:textId="77777777" w:rsidTr="00121A69">
        <w:tc>
          <w:tcPr>
            <w:tcW w:w="1332" w:type="dxa"/>
          </w:tcPr>
          <w:p w14:paraId="39B68AD5" w14:textId="77777777" w:rsidR="00631A69" w:rsidRPr="00EB3257" w:rsidRDefault="00631A69" w:rsidP="00EB3257">
            <w:pPr>
              <w:rPr>
                <w:b/>
                <w:bCs/>
                <w:sz w:val="22"/>
                <w:szCs w:val="22"/>
              </w:rPr>
            </w:pPr>
          </w:p>
        </w:tc>
        <w:tc>
          <w:tcPr>
            <w:tcW w:w="1362" w:type="dxa"/>
          </w:tcPr>
          <w:p w14:paraId="2AF8DC0E" w14:textId="3023A4E2" w:rsidR="00631A69" w:rsidRPr="00EB3257" w:rsidRDefault="00631A69" w:rsidP="00EB3257">
            <w:pPr>
              <w:rPr>
                <w:i/>
                <w:iCs/>
                <w:sz w:val="22"/>
                <w:szCs w:val="22"/>
              </w:rPr>
            </w:pPr>
            <w:r w:rsidRPr="00EB3257">
              <w:rPr>
                <w:i/>
                <w:iCs/>
                <w:sz w:val="22"/>
                <w:szCs w:val="22"/>
              </w:rPr>
              <w:t>Low (1.07)</w:t>
            </w:r>
          </w:p>
        </w:tc>
        <w:tc>
          <w:tcPr>
            <w:tcW w:w="2350" w:type="dxa"/>
          </w:tcPr>
          <w:p w14:paraId="7F09E239" w14:textId="77777777" w:rsidR="002E64F1" w:rsidRDefault="002E64F1" w:rsidP="002E64F1">
            <w:pPr>
              <w:rPr>
                <w:rFonts w:ascii="Calibri" w:hAnsi="Calibri" w:cs="Calibri"/>
                <w:color w:val="000000"/>
                <w:sz w:val="22"/>
                <w:szCs w:val="22"/>
              </w:rPr>
            </w:pPr>
            <w:r>
              <w:rPr>
                <w:rFonts w:ascii="Calibri" w:hAnsi="Calibri" w:cs="Calibri"/>
                <w:color w:val="000000"/>
                <w:sz w:val="22"/>
                <w:szCs w:val="22"/>
              </w:rPr>
              <w:t xml:space="preserve">£  558,137,902,469.89 </w:t>
            </w:r>
          </w:p>
          <w:p w14:paraId="281ED449" w14:textId="591CC252" w:rsidR="00631A69" w:rsidRPr="00EB3257" w:rsidRDefault="002E64F1" w:rsidP="00EB3257">
            <w:pPr>
              <w:rPr>
                <w:sz w:val="22"/>
                <w:szCs w:val="22"/>
              </w:rPr>
            </w:pPr>
            <w:r>
              <w:rPr>
                <w:sz w:val="22"/>
                <w:szCs w:val="22"/>
              </w:rPr>
              <w:t>(-11)</w:t>
            </w:r>
          </w:p>
        </w:tc>
        <w:tc>
          <w:tcPr>
            <w:tcW w:w="2045" w:type="dxa"/>
          </w:tcPr>
          <w:p w14:paraId="18C1E920" w14:textId="77777777" w:rsidR="00780C7C" w:rsidRDefault="00780C7C" w:rsidP="00780C7C">
            <w:pPr>
              <w:rPr>
                <w:rFonts w:ascii="Calibri" w:hAnsi="Calibri" w:cs="Calibri"/>
                <w:color w:val="000000"/>
                <w:sz w:val="22"/>
                <w:szCs w:val="22"/>
              </w:rPr>
            </w:pPr>
            <w:r>
              <w:rPr>
                <w:rFonts w:ascii="Calibri" w:hAnsi="Calibri" w:cs="Calibri"/>
                <w:color w:val="000000"/>
                <w:sz w:val="22"/>
                <w:szCs w:val="22"/>
              </w:rPr>
              <w:t xml:space="preserve">   136,968,559.56 </w:t>
            </w:r>
          </w:p>
          <w:p w14:paraId="41C2CE22" w14:textId="2CCD76F0" w:rsidR="00631A69" w:rsidRPr="00EB3257" w:rsidRDefault="00780C7C" w:rsidP="00EB3257">
            <w:pPr>
              <w:rPr>
                <w:sz w:val="22"/>
                <w:szCs w:val="22"/>
              </w:rPr>
            </w:pPr>
            <w:r>
              <w:rPr>
                <w:sz w:val="22"/>
                <w:szCs w:val="22"/>
              </w:rPr>
              <w:t>(-3)</w:t>
            </w:r>
          </w:p>
        </w:tc>
        <w:tc>
          <w:tcPr>
            <w:tcW w:w="1984" w:type="dxa"/>
          </w:tcPr>
          <w:p w14:paraId="6ECD92FF" w14:textId="77777777" w:rsidR="00121A69" w:rsidRDefault="00121A69" w:rsidP="00121A69">
            <w:pPr>
              <w:rPr>
                <w:rFonts w:ascii="Calibri" w:hAnsi="Calibri" w:cs="Calibri"/>
                <w:color w:val="000000"/>
                <w:sz w:val="22"/>
                <w:szCs w:val="22"/>
              </w:rPr>
            </w:pPr>
            <w:r>
              <w:rPr>
                <w:rFonts w:ascii="Calibri" w:hAnsi="Calibri" w:cs="Calibri"/>
                <w:color w:val="000000"/>
                <w:sz w:val="22"/>
                <w:szCs w:val="22"/>
              </w:rPr>
              <w:t xml:space="preserve">     9,430,100.22 </w:t>
            </w:r>
          </w:p>
          <w:p w14:paraId="5C739742" w14:textId="3F125BE2" w:rsidR="00631A69" w:rsidRPr="00EB3257" w:rsidRDefault="00121A69" w:rsidP="00EB3257">
            <w:pPr>
              <w:rPr>
                <w:sz w:val="22"/>
                <w:szCs w:val="22"/>
              </w:rPr>
            </w:pPr>
            <w:r>
              <w:rPr>
                <w:sz w:val="22"/>
                <w:szCs w:val="22"/>
              </w:rPr>
              <w:t>(-11)</w:t>
            </w:r>
          </w:p>
        </w:tc>
        <w:tc>
          <w:tcPr>
            <w:tcW w:w="2126" w:type="dxa"/>
          </w:tcPr>
          <w:p w14:paraId="572FF2BF" w14:textId="77777777" w:rsidR="002B38D9" w:rsidRDefault="002B38D9" w:rsidP="002B38D9">
            <w:pPr>
              <w:rPr>
                <w:rFonts w:ascii="Calibri" w:hAnsi="Calibri" w:cs="Calibri"/>
                <w:color w:val="000000"/>
                <w:sz w:val="22"/>
                <w:szCs w:val="22"/>
              </w:rPr>
            </w:pPr>
            <w:r>
              <w:rPr>
                <w:rFonts w:ascii="Calibri" w:hAnsi="Calibri" w:cs="Calibri"/>
                <w:color w:val="000000"/>
                <w:sz w:val="22"/>
                <w:szCs w:val="22"/>
              </w:rPr>
              <w:t xml:space="preserve">         2,582,837 </w:t>
            </w:r>
          </w:p>
          <w:p w14:paraId="696AD17B" w14:textId="42CE9D03" w:rsidR="00631A69" w:rsidRPr="00EB3257" w:rsidRDefault="002B38D9" w:rsidP="00EB3257">
            <w:pPr>
              <w:rPr>
                <w:sz w:val="22"/>
                <w:szCs w:val="22"/>
              </w:rPr>
            </w:pPr>
            <w:r>
              <w:rPr>
                <w:sz w:val="22"/>
                <w:szCs w:val="22"/>
              </w:rPr>
              <w:t>(-11)</w:t>
            </w:r>
          </w:p>
        </w:tc>
      </w:tr>
      <w:tr w:rsidR="00631A69" w:rsidRPr="00EB3257" w14:paraId="732E017B" w14:textId="77777777" w:rsidTr="00121A69">
        <w:tc>
          <w:tcPr>
            <w:tcW w:w="1332" w:type="dxa"/>
          </w:tcPr>
          <w:p w14:paraId="0D38EFBE" w14:textId="1C30B7FF" w:rsidR="00631A69" w:rsidRPr="00EB3257" w:rsidRDefault="00631A69" w:rsidP="00EB3257">
            <w:pPr>
              <w:rPr>
                <w:b/>
                <w:bCs/>
                <w:sz w:val="22"/>
                <w:szCs w:val="22"/>
              </w:rPr>
            </w:pPr>
            <w:r w:rsidRPr="00EB3257">
              <w:rPr>
                <w:b/>
                <w:bCs/>
                <w:sz w:val="22"/>
                <w:szCs w:val="22"/>
              </w:rPr>
              <w:t>25%</w:t>
            </w:r>
          </w:p>
        </w:tc>
        <w:tc>
          <w:tcPr>
            <w:tcW w:w="1362" w:type="dxa"/>
          </w:tcPr>
          <w:p w14:paraId="5C521035" w14:textId="3186862C" w:rsidR="00631A69" w:rsidRPr="00EB3257" w:rsidRDefault="00631A69" w:rsidP="00EB3257">
            <w:pPr>
              <w:rPr>
                <w:i/>
                <w:iCs/>
                <w:sz w:val="22"/>
                <w:szCs w:val="22"/>
              </w:rPr>
            </w:pPr>
            <w:r w:rsidRPr="00EB3257">
              <w:rPr>
                <w:i/>
                <w:iCs/>
                <w:sz w:val="22"/>
                <w:szCs w:val="22"/>
              </w:rPr>
              <w:t>High (1.38)</w:t>
            </w:r>
          </w:p>
        </w:tc>
        <w:tc>
          <w:tcPr>
            <w:tcW w:w="2350" w:type="dxa"/>
          </w:tcPr>
          <w:p w14:paraId="34FC8693" w14:textId="77777777" w:rsidR="00EE0392" w:rsidRDefault="00EE0392" w:rsidP="00EE0392">
            <w:pPr>
              <w:rPr>
                <w:rFonts w:ascii="Calibri" w:hAnsi="Calibri" w:cs="Calibri"/>
                <w:color w:val="000000"/>
                <w:sz w:val="22"/>
                <w:szCs w:val="22"/>
              </w:rPr>
            </w:pPr>
            <w:r>
              <w:rPr>
                <w:rFonts w:ascii="Calibri" w:hAnsi="Calibri" w:cs="Calibri"/>
                <w:color w:val="000000"/>
                <w:sz w:val="22"/>
                <w:szCs w:val="22"/>
              </w:rPr>
              <w:t xml:space="preserve">£  578,289,719,287.51 </w:t>
            </w:r>
          </w:p>
          <w:p w14:paraId="5344A655" w14:textId="360F0506" w:rsidR="00631A69" w:rsidRPr="00EB3257" w:rsidRDefault="00EE0392" w:rsidP="00EB3257">
            <w:pPr>
              <w:rPr>
                <w:sz w:val="22"/>
                <w:szCs w:val="22"/>
              </w:rPr>
            </w:pPr>
            <w:r>
              <w:rPr>
                <w:sz w:val="22"/>
                <w:szCs w:val="22"/>
              </w:rPr>
              <w:t>(-5)</w:t>
            </w:r>
          </w:p>
        </w:tc>
        <w:tc>
          <w:tcPr>
            <w:tcW w:w="2045" w:type="dxa"/>
          </w:tcPr>
          <w:p w14:paraId="2C023F53" w14:textId="77777777" w:rsidR="00780C7C" w:rsidRDefault="00780C7C" w:rsidP="00780C7C">
            <w:pPr>
              <w:rPr>
                <w:rFonts w:ascii="Calibri" w:hAnsi="Calibri" w:cs="Calibri"/>
                <w:color w:val="000000"/>
                <w:sz w:val="22"/>
                <w:szCs w:val="22"/>
              </w:rPr>
            </w:pPr>
            <w:r>
              <w:rPr>
                <w:rFonts w:ascii="Calibri" w:hAnsi="Calibri" w:cs="Calibri"/>
                <w:color w:val="000000"/>
                <w:sz w:val="22"/>
                <w:szCs w:val="22"/>
              </w:rPr>
              <w:t xml:space="preserve">   136,784,210.03 </w:t>
            </w:r>
          </w:p>
          <w:p w14:paraId="0BADE5FF" w14:textId="24B2D4DA" w:rsidR="00631A69" w:rsidRPr="00EB3257" w:rsidRDefault="00780C7C" w:rsidP="00EB3257">
            <w:pPr>
              <w:rPr>
                <w:sz w:val="22"/>
                <w:szCs w:val="22"/>
              </w:rPr>
            </w:pPr>
            <w:r>
              <w:rPr>
                <w:sz w:val="22"/>
                <w:szCs w:val="22"/>
              </w:rPr>
              <w:t>(-3)</w:t>
            </w:r>
          </w:p>
        </w:tc>
        <w:tc>
          <w:tcPr>
            <w:tcW w:w="1984" w:type="dxa"/>
          </w:tcPr>
          <w:p w14:paraId="1E32F9A5" w14:textId="77777777" w:rsidR="00121A69" w:rsidRDefault="00121A69" w:rsidP="00121A69">
            <w:pPr>
              <w:rPr>
                <w:rFonts w:ascii="Calibri" w:hAnsi="Calibri" w:cs="Calibri"/>
                <w:color w:val="000000"/>
                <w:sz w:val="22"/>
                <w:szCs w:val="22"/>
              </w:rPr>
            </w:pPr>
            <w:r>
              <w:rPr>
                <w:rFonts w:ascii="Calibri" w:hAnsi="Calibri" w:cs="Calibri"/>
                <w:color w:val="000000"/>
                <w:sz w:val="22"/>
                <w:szCs w:val="22"/>
              </w:rPr>
              <w:t xml:space="preserve">     9,799,130.70 </w:t>
            </w:r>
          </w:p>
          <w:p w14:paraId="48E6DF6D" w14:textId="3A7AB824" w:rsidR="00631A69" w:rsidRPr="00EB3257" w:rsidRDefault="00121A69" w:rsidP="00EB3257">
            <w:pPr>
              <w:rPr>
                <w:sz w:val="22"/>
                <w:szCs w:val="22"/>
              </w:rPr>
            </w:pPr>
            <w:r>
              <w:rPr>
                <w:sz w:val="22"/>
                <w:szCs w:val="22"/>
              </w:rPr>
              <w:t>(-4)</w:t>
            </w:r>
          </w:p>
        </w:tc>
        <w:tc>
          <w:tcPr>
            <w:tcW w:w="2126" w:type="dxa"/>
          </w:tcPr>
          <w:p w14:paraId="528FF2BE" w14:textId="77777777" w:rsidR="002B38D9" w:rsidRDefault="002B38D9" w:rsidP="002B38D9">
            <w:pPr>
              <w:rPr>
                <w:rFonts w:ascii="Calibri" w:hAnsi="Calibri" w:cs="Calibri"/>
                <w:color w:val="000000"/>
                <w:sz w:val="22"/>
                <w:szCs w:val="22"/>
              </w:rPr>
            </w:pPr>
            <w:r>
              <w:rPr>
                <w:rFonts w:ascii="Calibri" w:hAnsi="Calibri" w:cs="Calibri"/>
                <w:color w:val="000000"/>
                <w:sz w:val="22"/>
                <w:szCs w:val="22"/>
              </w:rPr>
              <w:t xml:space="preserve">         2,701,735 </w:t>
            </w:r>
          </w:p>
          <w:p w14:paraId="295D1652" w14:textId="0C90D594" w:rsidR="00631A69" w:rsidRPr="00EB3257" w:rsidRDefault="002B38D9" w:rsidP="00EB3257">
            <w:pPr>
              <w:rPr>
                <w:sz w:val="22"/>
                <w:szCs w:val="22"/>
              </w:rPr>
            </w:pPr>
            <w:r>
              <w:rPr>
                <w:sz w:val="22"/>
                <w:szCs w:val="22"/>
              </w:rPr>
              <w:t>(-3)</w:t>
            </w:r>
          </w:p>
        </w:tc>
      </w:tr>
      <w:tr w:rsidR="00631A69" w:rsidRPr="00EB3257" w14:paraId="7026F613" w14:textId="77777777" w:rsidTr="00121A69">
        <w:tc>
          <w:tcPr>
            <w:tcW w:w="1332" w:type="dxa"/>
          </w:tcPr>
          <w:p w14:paraId="46FBC6A4" w14:textId="77777777" w:rsidR="00631A69" w:rsidRPr="00EB3257" w:rsidRDefault="00631A69" w:rsidP="00EB3257">
            <w:pPr>
              <w:rPr>
                <w:b/>
                <w:bCs/>
                <w:sz w:val="22"/>
                <w:szCs w:val="22"/>
              </w:rPr>
            </w:pPr>
          </w:p>
        </w:tc>
        <w:tc>
          <w:tcPr>
            <w:tcW w:w="1362" w:type="dxa"/>
          </w:tcPr>
          <w:p w14:paraId="44005E44" w14:textId="10D61EC7" w:rsidR="00631A69" w:rsidRPr="00EB3257" w:rsidRDefault="00631A69" w:rsidP="00EB3257">
            <w:pPr>
              <w:rPr>
                <w:i/>
                <w:iCs/>
                <w:sz w:val="22"/>
                <w:szCs w:val="22"/>
              </w:rPr>
            </w:pPr>
            <w:r w:rsidRPr="00EB3257">
              <w:rPr>
                <w:i/>
                <w:iCs/>
                <w:sz w:val="22"/>
                <w:szCs w:val="22"/>
              </w:rPr>
              <w:t>Low (1.07)</w:t>
            </w:r>
          </w:p>
        </w:tc>
        <w:tc>
          <w:tcPr>
            <w:tcW w:w="2350" w:type="dxa"/>
          </w:tcPr>
          <w:p w14:paraId="3187AA32" w14:textId="77777777" w:rsidR="002E64F1" w:rsidRDefault="002E64F1" w:rsidP="002E64F1">
            <w:pPr>
              <w:rPr>
                <w:rFonts w:ascii="Calibri" w:hAnsi="Calibri" w:cs="Calibri"/>
                <w:color w:val="000000"/>
                <w:sz w:val="22"/>
                <w:szCs w:val="22"/>
              </w:rPr>
            </w:pPr>
            <w:r>
              <w:rPr>
                <w:rFonts w:ascii="Calibri" w:hAnsi="Calibri" w:cs="Calibri"/>
                <w:color w:val="000000"/>
                <w:sz w:val="22"/>
                <w:szCs w:val="22"/>
              </w:rPr>
              <w:t xml:space="preserve">£  551,576,202,882.79 </w:t>
            </w:r>
          </w:p>
          <w:p w14:paraId="5D2D24A1" w14:textId="1C34A542" w:rsidR="00631A69" w:rsidRPr="00EB3257" w:rsidRDefault="002E64F1" w:rsidP="00EB3257">
            <w:pPr>
              <w:rPr>
                <w:sz w:val="22"/>
                <w:szCs w:val="22"/>
              </w:rPr>
            </w:pPr>
            <w:r>
              <w:rPr>
                <w:sz w:val="22"/>
                <w:szCs w:val="22"/>
              </w:rPr>
              <w:t>(-9)</w:t>
            </w:r>
          </w:p>
        </w:tc>
        <w:tc>
          <w:tcPr>
            <w:tcW w:w="2045" w:type="dxa"/>
          </w:tcPr>
          <w:p w14:paraId="5AD793B8" w14:textId="77777777" w:rsidR="00780C7C" w:rsidRDefault="00780C7C" w:rsidP="00780C7C">
            <w:pPr>
              <w:rPr>
                <w:rFonts w:ascii="Calibri" w:hAnsi="Calibri" w:cs="Calibri"/>
                <w:color w:val="000000"/>
                <w:sz w:val="22"/>
                <w:szCs w:val="22"/>
              </w:rPr>
            </w:pPr>
            <w:r>
              <w:rPr>
                <w:rFonts w:ascii="Calibri" w:hAnsi="Calibri" w:cs="Calibri"/>
                <w:color w:val="000000"/>
                <w:sz w:val="22"/>
                <w:szCs w:val="22"/>
              </w:rPr>
              <w:t xml:space="preserve">   137,010,344.18 </w:t>
            </w:r>
          </w:p>
          <w:p w14:paraId="27E30ABC" w14:textId="7FBC5C21" w:rsidR="00631A69" w:rsidRPr="00EB3257" w:rsidRDefault="00780C7C" w:rsidP="00EB3257">
            <w:pPr>
              <w:rPr>
                <w:sz w:val="22"/>
                <w:szCs w:val="22"/>
              </w:rPr>
            </w:pPr>
            <w:r>
              <w:rPr>
                <w:sz w:val="22"/>
                <w:szCs w:val="22"/>
              </w:rPr>
              <w:t>(-3)</w:t>
            </w:r>
          </w:p>
        </w:tc>
        <w:tc>
          <w:tcPr>
            <w:tcW w:w="1984" w:type="dxa"/>
          </w:tcPr>
          <w:p w14:paraId="6F35FFCD" w14:textId="77777777" w:rsidR="00121A69" w:rsidRDefault="00121A69" w:rsidP="00121A69">
            <w:pPr>
              <w:rPr>
                <w:rFonts w:ascii="Calibri" w:hAnsi="Calibri" w:cs="Calibri"/>
                <w:color w:val="000000"/>
                <w:sz w:val="22"/>
                <w:szCs w:val="22"/>
              </w:rPr>
            </w:pPr>
            <w:r>
              <w:rPr>
                <w:rFonts w:ascii="Calibri" w:hAnsi="Calibri" w:cs="Calibri"/>
                <w:color w:val="000000"/>
                <w:sz w:val="22"/>
                <w:szCs w:val="22"/>
              </w:rPr>
              <w:t xml:space="preserve">     9,312,173.99 </w:t>
            </w:r>
          </w:p>
          <w:p w14:paraId="3F2276FA" w14:textId="4A79021B" w:rsidR="00631A69" w:rsidRPr="00EB3257" w:rsidRDefault="00121A69" w:rsidP="00EB3257">
            <w:pPr>
              <w:rPr>
                <w:sz w:val="22"/>
                <w:szCs w:val="22"/>
              </w:rPr>
            </w:pPr>
            <w:r>
              <w:rPr>
                <w:sz w:val="22"/>
                <w:szCs w:val="22"/>
              </w:rPr>
              <w:t>(-9)</w:t>
            </w:r>
          </w:p>
        </w:tc>
        <w:tc>
          <w:tcPr>
            <w:tcW w:w="2126" w:type="dxa"/>
          </w:tcPr>
          <w:p w14:paraId="153CFD84" w14:textId="77777777" w:rsidR="003D4B6F" w:rsidRDefault="003D4B6F" w:rsidP="003D4B6F">
            <w:pPr>
              <w:rPr>
                <w:rFonts w:ascii="Calibri" w:hAnsi="Calibri" w:cs="Calibri"/>
                <w:color w:val="000000"/>
                <w:sz w:val="22"/>
                <w:szCs w:val="22"/>
              </w:rPr>
            </w:pPr>
            <w:r>
              <w:rPr>
                <w:rFonts w:ascii="Calibri" w:hAnsi="Calibri" w:cs="Calibri"/>
                <w:color w:val="000000"/>
                <w:sz w:val="22"/>
                <w:szCs w:val="22"/>
              </w:rPr>
              <w:t xml:space="preserve">         2,544,945 </w:t>
            </w:r>
          </w:p>
          <w:p w14:paraId="4C1F8465" w14:textId="21290653" w:rsidR="00631A69" w:rsidRPr="00EB3257" w:rsidRDefault="003D4B6F" w:rsidP="00EB3257">
            <w:pPr>
              <w:rPr>
                <w:sz w:val="22"/>
                <w:szCs w:val="22"/>
              </w:rPr>
            </w:pPr>
            <w:r>
              <w:rPr>
                <w:sz w:val="22"/>
                <w:szCs w:val="22"/>
              </w:rPr>
              <w:t>(-8)</w:t>
            </w:r>
          </w:p>
        </w:tc>
      </w:tr>
    </w:tbl>
    <w:p w14:paraId="528E0D7E" w14:textId="049CE5F9" w:rsidR="00D92543" w:rsidRPr="00D92543" w:rsidRDefault="00D92543" w:rsidP="00DE3A1D">
      <w:r>
        <w:rPr>
          <w:b/>
          <w:bCs/>
        </w:rPr>
        <w:t xml:space="preserve">Table 5 </w:t>
      </w:r>
      <w:r>
        <w:t xml:space="preserve">One-way sensitivity </w:t>
      </w:r>
      <w:r w:rsidR="00F34B77">
        <w:t>results from varying periodontal disease-dementia onset HR</w:t>
      </w:r>
      <w:r w:rsidR="00E63919">
        <w:t xml:space="preserve">. </w:t>
      </w:r>
      <w:r w:rsidR="00631A69">
        <w:t>* = Not including caregiver QALYs</w:t>
      </w:r>
      <w:r w:rsidR="00E327EF">
        <w:t>.</w:t>
      </w:r>
      <w:r w:rsidR="00503DF6">
        <w:t xml:space="preserve"> All costs are in 2024£.</w:t>
      </w:r>
    </w:p>
    <w:p w14:paraId="6BF5990A" w14:textId="77777777" w:rsidR="00D92543" w:rsidRPr="00AE6F84" w:rsidRDefault="00D92543" w:rsidP="00DE3A1D"/>
    <w:p w14:paraId="38C74B46" w14:textId="367B2513" w:rsidR="00E977CF" w:rsidRPr="00AE6F84" w:rsidRDefault="008C24EE" w:rsidP="00DE3A1D">
      <w:pPr>
        <w:rPr>
          <w:sz w:val="28"/>
          <w:szCs w:val="28"/>
        </w:rPr>
      </w:pPr>
      <w:r w:rsidRPr="00AE6F84">
        <w:rPr>
          <w:b/>
          <w:bCs/>
          <w:sz w:val="28"/>
          <w:szCs w:val="28"/>
        </w:rPr>
        <w:t>Discussion</w:t>
      </w:r>
    </w:p>
    <w:p w14:paraId="11BFAFFF" w14:textId="4E479396" w:rsidR="00E977CF" w:rsidRPr="00AE6F84" w:rsidRDefault="00C368A6" w:rsidP="00DE3A1D">
      <w:pPr>
        <w:rPr>
          <w:b/>
          <w:bCs/>
        </w:rPr>
      </w:pPr>
      <w:r w:rsidRPr="00AE6F84">
        <w:rPr>
          <w:b/>
          <w:bCs/>
        </w:rPr>
        <w:t>Model validation</w:t>
      </w:r>
    </w:p>
    <w:p w14:paraId="321786EB" w14:textId="14ADDF14" w:rsidR="00C368A6" w:rsidRPr="00AE6F84" w:rsidRDefault="00726D9C" w:rsidP="00DE3A1D">
      <w:r w:rsidRPr="00AE6F84">
        <w:t>Our one-year validation of population structure and prevalence demonstrated good model fit</w:t>
      </w:r>
      <w:r w:rsidRPr="00AE6F84">
        <w:rPr>
          <w:rFonts w:eastAsiaTheme="minorEastAsia"/>
        </w:rPr>
        <w:t xml:space="preserve"> (Supplementary </w:t>
      </w:r>
      <w:r w:rsidR="002C537D" w:rsidRPr="00AE6F84">
        <w:rPr>
          <w:rFonts w:eastAsiaTheme="minorEastAsia"/>
        </w:rPr>
        <w:t>M</w:t>
      </w:r>
      <w:r w:rsidRPr="00AE6F84">
        <w:rPr>
          <w:rFonts w:eastAsiaTheme="minorEastAsia"/>
        </w:rPr>
        <w:t xml:space="preserve">aterial, Figure X-X). </w:t>
      </w:r>
      <w:r w:rsidRPr="00AE6F84">
        <w:t>We have compared our 50% PD prevalence model with the results of existing dementia models</w:t>
      </w:r>
      <w:r w:rsidR="002C537D" w:rsidRPr="00AE6F84">
        <w:t xml:space="preserve"> (Supplementary Material, Table XXX)</w:t>
      </w:r>
      <w:r w:rsidRPr="00AE6F84">
        <w:t>.</w:t>
      </w:r>
      <w:r w:rsidR="009B765A" w:rsidRPr="00AE6F84">
        <w:t xml:space="preserve"> </w:t>
      </w:r>
      <w:r w:rsidR="00CF6FB2" w:rsidRPr="00AE6F84">
        <w:t xml:space="preserve">Given the consistency </w:t>
      </w:r>
      <w:r w:rsidR="00DA7025" w:rsidRPr="00AE6F84">
        <w:t xml:space="preserve">in </w:t>
      </w:r>
      <w:r w:rsidR="004069BA" w:rsidRPr="00AE6F84">
        <w:t xml:space="preserve">model </w:t>
      </w:r>
      <w:r w:rsidR="00DA7025" w:rsidRPr="00AE6F84">
        <w:t xml:space="preserve">outcomes, </w:t>
      </w:r>
      <w:r w:rsidR="00F71541" w:rsidRPr="00AE6F84">
        <w:t xml:space="preserve">provided the </w:t>
      </w:r>
      <w:r w:rsidR="00CA4FE3" w:rsidRPr="00AE6F84">
        <w:t xml:space="preserve">differences in </w:t>
      </w:r>
      <w:r w:rsidR="004069BA" w:rsidRPr="00AE6F84">
        <w:t xml:space="preserve">ONS population projections used and per dementia case cost differences, </w:t>
      </w:r>
      <w:r w:rsidR="0086488E" w:rsidRPr="00AE6F84">
        <w:t>our results are comparable</w:t>
      </w:r>
      <w:r w:rsidR="00621C62" w:rsidRPr="00AE6F84">
        <w:t xml:space="preserve"> to previously published forecasts</w:t>
      </w:r>
      <w:r w:rsidR="0086488E" w:rsidRPr="00AE6F84">
        <w:t xml:space="preserve">. </w:t>
      </w:r>
      <w:r w:rsidR="00651F6B">
        <w:t xml:space="preserve">We also ran a model version </w:t>
      </w:r>
      <w:r w:rsidR="003B153D">
        <w:t xml:space="preserve">with risk factor prevalences set to 0 and HRs det to 1 to calculate the </w:t>
      </w:r>
      <w:r w:rsidR="003E2AB0">
        <w:t xml:space="preserve">dementia burden not attributable to preventable risk factors. </w:t>
      </w:r>
      <w:r w:rsidR="00A5181F">
        <w:t xml:space="preserve">In our model, 33% </w:t>
      </w:r>
      <w:r w:rsidR="007A713C">
        <w:t xml:space="preserve">of dementia cases are preventable, slightly below the </w:t>
      </w:r>
      <w:r w:rsidR="006D128F">
        <w:t xml:space="preserve">suggested </w:t>
      </w:r>
      <w:r w:rsidR="007A713C">
        <w:t>40%</w:t>
      </w:r>
      <w:r w:rsidR="006D128F">
        <w:t>, which suggests slightly stronger model age</w:t>
      </w:r>
      <w:r w:rsidR="007A713C">
        <w:t xml:space="preserve"> </w:t>
      </w:r>
      <w:r w:rsidR="006D128F">
        <w:t>effects [</w:t>
      </w:r>
      <w:r w:rsidR="00B40F48">
        <w:t>18</w:t>
      </w:r>
      <w:r w:rsidR="006D128F">
        <w:t>].</w:t>
      </w:r>
      <w:r w:rsidR="003A6AF5">
        <w:t xml:space="preserve"> </w:t>
      </w:r>
    </w:p>
    <w:p w14:paraId="1F46BCAD" w14:textId="77777777" w:rsidR="004C3105" w:rsidRPr="00AE6F84" w:rsidRDefault="004C3105" w:rsidP="00DE3A1D">
      <w:pPr>
        <w:rPr>
          <w:b/>
          <w:bCs/>
        </w:rPr>
      </w:pPr>
    </w:p>
    <w:p w14:paraId="4B8E1FBE" w14:textId="5B31311A" w:rsidR="00C368A6" w:rsidRPr="00AE6F84" w:rsidRDefault="00041307" w:rsidP="00DE3A1D">
      <w:pPr>
        <w:rPr>
          <w:b/>
          <w:bCs/>
        </w:rPr>
      </w:pPr>
      <w:r w:rsidRPr="00AE6F84">
        <w:rPr>
          <w:b/>
          <w:bCs/>
        </w:rPr>
        <w:t>Interpretation and p</w:t>
      </w:r>
      <w:r w:rsidR="00C368A6" w:rsidRPr="00AE6F84">
        <w:rPr>
          <w:b/>
          <w:bCs/>
        </w:rPr>
        <w:t xml:space="preserve">olicy implications </w:t>
      </w:r>
      <w:r w:rsidRPr="00AE6F84">
        <w:rPr>
          <w:b/>
          <w:bCs/>
        </w:rPr>
        <w:t>of results</w:t>
      </w:r>
    </w:p>
    <w:p w14:paraId="530796EF" w14:textId="14A605C3" w:rsidR="00191021" w:rsidRPr="00AE6F84" w:rsidRDefault="00191021" w:rsidP="00DE3A1D">
      <w:r w:rsidRPr="00AE6F84">
        <w:t>At a current PD prevalence of 50%</w:t>
      </w:r>
      <w:r w:rsidR="004C291C" w:rsidRPr="00AE6F84">
        <w:t xml:space="preserve">, </w:t>
      </w:r>
      <w:r w:rsidR="00C95257" w:rsidRPr="00AE6F84">
        <w:t xml:space="preserve">we </w:t>
      </w:r>
      <w:r w:rsidR="004C291C" w:rsidRPr="00AE6F84">
        <w:t xml:space="preserve">projected that there will be </w:t>
      </w:r>
      <w:r w:rsidR="0091143E" w:rsidRPr="00AE6F84">
        <w:t>2.80</w:t>
      </w:r>
      <w:r w:rsidR="00F17486" w:rsidRPr="00AE6F84">
        <w:t xml:space="preserve"> million </w:t>
      </w:r>
      <w:r w:rsidR="0091143E" w:rsidRPr="00AE6F84">
        <w:t xml:space="preserve">incident </w:t>
      </w:r>
      <w:r w:rsidR="00F17486" w:rsidRPr="00AE6F84">
        <w:t xml:space="preserve">dementia cases among adults </w:t>
      </w:r>
      <w:r w:rsidR="00DC7423" w:rsidRPr="00AE6F84">
        <w:t>aged 65+ in England</w:t>
      </w:r>
      <w:r w:rsidR="0091143E" w:rsidRPr="00AE6F84">
        <w:t xml:space="preserve"> over 2024-2040</w:t>
      </w:r>
      <w:r w:rsidR="00DC7423" w:rsidRPr="00AE6F84">
        <w:t>.</w:t>
      </w:r>
      <w:r w:rsidR="006E7173" w:rsidRPr="00AE6F84">
        <w:t xml:space="preserve"> Halving PD </w:t>
      </w:r>
      <w:r w:rsidR="006E7173" w:rsidRPr="00AE6F84">
        <w:lastRenderedPageBreak/>
        <w:t xml:space="preserve">prevalence to 25% </w:t>
      </w:r>
      <w:r w:rsidR="006D6D07">
        <w:t>could prevent</w:t>
      </w:r>
      <w:r w:rsidR="006E7173" w:rsidRPr="00AE6F84">
        <w:t xml:space="preserve"> </w:t>
      </w:r>
      <w:r w:rsidR="0091143E" w:rsidRPr="00AE6F84">
        <w:t>114,814</w:t>
      </w:r>
      <w:r w:rsidR="006E7173" w:rsidRPr="00AE6F84">
        <w:t xml:space="preserve"> incident cases, while increasing it to 75% </w:t>
      </w:r>
      <w:r w:rsidR="0091143E" w:rsidRPr="00AE6F84">
        <w:t>added</w:t>
      </w:r>
      <w:r w:rsidR="006E7173" w:rsidRPr="00AE6F84">
        <w:t xml:space="preserve"> </w:t>
      </w:r>
      <w:r w:rsidR="0091143E" w:rsidRPr="00AE6F84">
        <w:t>112,</w:t>
      </w:r>
      <w:r w:rsidR="00147707" w:rsidRPr="00AE6F84">
        <w:t>921</w:t>
      </w:r>
      <w:r w:rsidR="006E7173" w:rsidRPr="00AE6F84">
        <w:t xml:space="preserve"> incident cases. </w:t>
      </w:r>
      <w:r w:rsidR="0091143E" w:rsidRPr="00AE6F84">
        <w:t>Total dementia-related cost</w:t>
      </w:r>
      <w:r w:rsidR="008D1368" w:rsidRPr="00AE6F84">
        <w:t xml:space="preserve"> savings from halving PD were £19.7bn</w:t>
      </w:r>
      <w:r w:rsidR="007968EB" w:rsidRPr="00AE6F84">
        <w:t xml:space="preserve">, comprised of £10.9bn in formal healthcare and £8.8bn in informal care costs. </w:t>
      </w:r>
      <w:r w:rsidR="00E86E66" w:rsidRPr="00AE6F84">
        <w:t>Likewise with the difference in incident dementia cases avoid</w:t>
      </w:r>
      <w:r w:rsidR="001B09CA" w:rsidRPr="00AE6F84">
        <w:t>ed</w:t>
      </w:r>
      <w:r w:rsidR="00E86E66" w:rsidRPr="00AE6F84">
        <w:t xml:space="preserve">, </w:t>
      </w:r>
      <w:r w:rsidR="00341ADD" w:rsidRPr="00AE6F84">
        <w:t xml:space="preserve">additional </w:t>
      </w:r>
      <w:r w:rsidR="00E86E66" w:rsidRPr="00AE6F84">
        <w:t xml:space="preserve">cost </w:t>
      </w:r>
      <w:r w:rsidR="00341ADD" w:rsidRPr="00AE6F84">
        <w:t xml:space="preserve">associated with increased PD prevalence </w:t>
      </w:r>
      <w:r w:rsidR="00E86E66" w:rsidRPr="00AE6F84">
        <w:t>were symmetrical</w:t>
      </w:r>
      <w:r w:rsidR="00650CCC" w:rsidRPr="00AE6F84">
        <w:t xml:space="preserve">. </w:t>
      </w:r>
      <w:r w:rsidR="00900E8A">
        <w:t>Population</w:t>
      </w:r>
      <w:r w:rsidR="000D7591" w:rsidRPr="00AE6F84">
        <w:t xml:space="preserve"> QALYs showed minimal variation </w:t>
      </w:r>
      <w:r w:rsidR="001B09CA" w:rsidRPr="00AE6F84">
        <w:t xml:space="preserve">across scenarios (&lt;0.2% difference), while caregiver QALYs </w:t>
      </w:r>
      <w:r w:rsidR="00900164" w:rsidRPr="00AE6F84">
        <w:t xml:space="preserve">had an inverse relationship with PD prevalence, as there were fewer caregivers when fewer dementia cases occur. The dementia cost structure </w:t>
      </w:r>
      <w:r w:rsidR="005C2484" w:rsidRPr="00AE6F84">
        <w:t xml:space="preserve">shifted from informal care dominance </w:t>
      </w:r>
      <w:r w:rsidR="00CC7C4A" w:rsidRPr="00AE6F84">
        <w:t xml:space="preserve">at </w:t>
      </w:r>
      <w:r w:rsidR="00476347" w:rsidRPr="00AE6F84">
        <w:t xml:space="preserve">model </w:t>
      </w:r>
      <w:r w:rsidR="00CC7C4A" w:rsidRPr="00AE6F84">
        <w:t xml:space="preserve">initiation </w:t>
      </w:r>
      <w:r w:rsidR="00476347" w:rsidRPr="00AE6F84">
        <w:t xml:space="preserve">(2024: £18.4bn vs £9.0bn) to formal care dominance by 2027 as dementia severity increases and institutionalisation rates rose from 12% to 38%. </w:t>
      </w:r>
      <w:r w:rsidR="008D5C4F">
        <w:t xml:space="preserve">The size of our estimated benefits are large due to the high prevalence of PD, and the large </w:t>
      </w:r>
      <w:r w:rsidR="000029F9">
        <w:t>increase and decrease to 75% and 25%. Our results have to be considered in context of this</w:t>
      </w:r>
      <w:r w:rsidR="00C734B0">
        <w:t>, although our overall costs are lowering than previously reports due to our use of a lower per person dementia cost</w:t>
      </w:r>
      <w:r w:rsidR="000029F9">
        <w:t xml:space="preserve">. </w:t>
      </w:r>
      <w:r w:rsidR="00784388">
        <w:t xml:space="preserve">Each percentage point reduction in PD prevalence was associated with </w:t>
      </w:r>
      <w:r w:rsidR="00430F7B">
        <w:t xml:space="preserve">approximately </w:t>
      </w:r>
      <w:r w:rsidR="00AD7907">
        <w:t xml:space="preserve">678 </w:t>
      </w:r>
      <w:r w:rsidR="00FB6E43">
        <w:t>less</w:t>
      </w:r>
      <w:r w:rsidR="00AD7907">
        <w:t xml:space="preserve"> annual dementia onsets</w:t>
      </w:r>
      <w:r w:rsidR="00F82E67">
        <w:t xml:space="preserve"> </w:t>
      </w:r>
      <w:r w:rsidR="00220BEB">
        <w:t>(~11,530 over the 2024-2040 forecast period) and £46mn in total annual savings (</w:t>
      </w:r>
      <w:r w:rsidR="00BC6E41">
        <w:t>£789mn over the 2024-2040 forecast period). Annual differences grow over time</w:t>
      </w:r>
      <w:r w:rsidR="00CD538D">
        <w:t xml:space="preserve">, so this summary overestimates outputs in the early years and underestimates in the latter. </w:t>
      </w:r>
    </w:p>
    <w:p w14:paraId="317B338E" w14:textId="77777777" w:rsidR="007727A7" w:rsidRDefault="00822B97" w:rsidP="00822B97">
      <w:r w:rsidRPr="00AE6F84">
        <w:t>Using an individual-level microsimulation approach, we model a population-level exposure shift rather than the effect of a specific, costed intervention, meaning the estimates reflect the potential effects of sustained reductions in PD prevalence. This study does not consider the costs of such an intervention that would lower PD, or at what per-year rate it would lower PD prevalence by, therefore further cost-effectiveness methods should be incorporated from these results. Our model focuses on individuals aged 65 years and older, aligning with common dementia projections and capturing the population at highest risk of both severe PD and dementia. Given the high prevalence of PD disease in England, even modest population-level reduction</w:t>
      </w:r>
      <w:r w:rsidR="00F82E67">
        <w:t>s</w:t>
      </w:r>
      <w:r w:rsidRPr="00AE6F84">
        <w:t xml:space="preserve"> can lead to substantial public health and economic benefits. However, there is currently an absence of research on or a previously introduced individual-level PD intervention itself. This provided the rationale for a scenario exposure shift investigation</w:t>
      </w:r>
      <w:r w:rsidR="00D55912">
        <w:t>, and not testing a specific intervention</w:t>
      </w:r>
      <w:r w:rsidRPr="00AE6F84">
        <w:t xml:space="preserve">. </w:t>
      </w:r>
    </w:p>
    <w:p w14:paraId="3BAEABEF" w14:textId="1F6F95DD" w:rsidR="00FF7385" w:rsidRPr="00AE6F84" w:rsidRDefault="00C70B2F" w:rsidP="00822B97">
      <w:r>
        <w:t xml:space="preserve">Our model estimates rely entirely on </w:t>
      </w:r>
      <w:r w:rsidR="00940AC1">
        <w:t xml:space="preserve">the assumption that the observed associated between PD and dementia onset is casual. </w:t>
      </w:r>
      <w:r w:rsidR="00382A05">
        <w:t xml:space="preserve">The HR used was derived from a meta-analysis of 23 longitudinal studies </w:t>
      </w:r>
      <w:r w:rsidR="00A636D0">
        <w:t xml:space="preserve">that accounted for reverse causality. It </w:t>
      </w:r>
      <w:r w:rsidR="00553CE1">
        <w:t>included the largest number of longitudinal studies</w:t>
      </w:r>
      <w:r w:rsidR="00313D94">
        <w:t xml:space="preserve"> and accounted for multiple effects </w:t>
      </w:r>
      <w:r w:rsidR="00CD4465">
        <w:t xml:space="preserve">estimates, yet, the authors note that </w:t>
      </w:r>
      <w:r w:rsidR="00B03783">
        <w:t>there was heterogeneity across the exposure definitions used by the studies included [33].</w:t>
      </w:r>
      <w:r w:rsidR="00020A74">
        <w:t xml:space="preserve"> Our model applies this pooled estimate </w:t>
      </w:r>
      <w:r w:rsidR="00433DE4">
        <w:t xml:space="preserve">as a single risk factor, which means the modelled PD exposure </w:t>
      </w:r>
      <w:r w:rsidR="00803A0D">
        <w:t>does not correspond to a single clinical definition</w:t>
      </w:r>
      <w:r w:rsidR="009D13B3">
        <w:t>,</w:t>
      </w:r>
      <w:r w:rsidR="00803A0D">
        <w:t xml:space="preserve"> but reflects the wide</w:t>
      </w:r>
      <w:r w:rsidR="008F7CD1">
        <w:t xml:space="preserve">r </w:t>
      </w:r>
      <w:r w:rsidR="008216CF">
        <w:t xml:space="preserve">‘some level of irreversible periodontitis’ </w:t>
      </w:r>
      <w:r w:rsidR="009D13B3">
        <w:t xml:space="preserve">definition </w:t>
      </w:r>
      <w:r w:rsidR="002C5C0E">
        <w:t xml:space="preserve">used </w:t>
      </w:r>
      <w:r w:rsidR="009D13B3">
        <w:t xml:space="preserve">by NHS England </w:t>
      </w:r>
      <w:r w:rsidR="008216CF">
        <w:t xml:space="preserve">[1]. </w:t>
      </w:r>
      <w:r w:rsidR="005F2372">
        <w:t xml:space="preserve">We </w:t>
      </w:r>
      <w:r w:rsidR="006C27B2">
        <w:t xml:space="preserve">consider </w:t>
      </w:r>
      <w:r w:rsidR="00026C4F">
        <w:t xml:space="preserve">these to be compatible, especially considering the </w:t>
      </w:r>
      <w:r w:rsidR="00026C4F">
        <w:lastRenderedPageBreak/>
        <w:t xml:space="preserve">lack of consensus around what explicitly defines PD, although the exact </w:t>
      </w:r>
      <w:r w:rsidR="000B3561">
        <w:t>alignment cannot be confirmed [</w:t>
      </w:r>
      <w:r w:rsidR="001057A5">
        <w:t>42</w:t>
      </w:r>
      <w:r w:rsidR="000B3561">
        <w:t xml:space="preserve">]. </w:t>
      </w:r>
      <w:r w:rsidR="0008434F">
        <w:t xml:space="preserve">This reflects a </w:t>
      </w:r>
      <w:r w:rsidR="00122912">
        <w:t xml:space="preserve">current issue in dental epidemiology, rather than a </w:t>
      </w:r>
      <w:r w:rsidR="00C213CD">
        <w:t>flaw in our modelling methods used.</w:t>
      </w:r>
      <w:r w:rsidR="0025536F">
        <w:t xml:space="preserve"> </w:t>
      </w:r>
    </w:p>
    <w:p w14:paraId="0EDFE279" w14:textId="77777777" w:rsidR="00386501" w:rsidRPr="00AE6F84" w:rsidRDefault="00386501" w:rsidP="00DE3A1D">
      <w:pPr>
        <w:rPr>
          <w:b/>
          <w:bCs/>
        </w:rPr>
      </w:pPr>
    </w:p>
    <w:p w14:paraId="34866D15" w14:textId="61CDF8AA" w:rsidR="00822B97" w:rsidRPr="00AE6F84" w:rsidRDefault="000B29CC" w:rsidP="00DE3A1D">
      <w:r w:rsidRPr="00AE6F84">
        <w:t>At 50% prevalence</w:t>
      </w:r>
      <w:r w:rsidR="0045156B" w:rsidRPr="00AE6F84">
        <w:t>, PD was the most preventable modifiable risk factor in the model</w:t>
      </w:r>
      <w:r w:rsidR="00865DEF" w:rsidRPr="00AE6F84">
        <w:t>. However, PD sho</w:t>
      </w:r>
      <w:r w:rsidR="00834E79" w:rsidRPr="00AE6F84">
        <w:t>w</w:t>
      </w:r>
      <w:r w:rsidR="00865DEF" w:rsidRPr="00AE6F84">
        <w:t>ed only 8% relative enrichment in the dementia population (53.8% vs 4</w:t>
      </w:r>
      <w:r w:rsidR="00834E79" w:rsidRPr="00AE6F84">
        <w:t>9.8%) co</w:t>
      </w:r>
      <w:r w:rsidR="00643738" w:rsidRPr="00AE6F84">
        <w:t xml:space="preserve">mpared to 65% for depression (10.9% vs 6.6%), and 77% for </w:t>
      </w:r>
      <w:r w:rsidR="00B465DA" w:rsidRPr="00AE6F84">
        <w:t xml:space="preserve">Type 2 </w:t>
      </w:r>
      <w:r w:rsidR="00643738" w:rsidRPr="00AE6F84">
        <w:t>diabetes (7.6% vs 4.3%).</w:t>
      </w:r>
      <w:r w:rsidR="001108DD" w:rsidRPr="00AE6F84">
        <w:t xml:space="preserve"> </w:t>
      </w:r>
      <w:r w:rsidR="00422758" w:rsidRPr="00AE6F84">
        <w:t>This indicates PD as a weak but ubiquitous risk factor. Its</w:t>
      </w:r>
      <w:r w:rsidR="00D35015" w:rsidRPr="00AE6F84">
        <w:t xml:space="preserve"> role as a risk factor derives from its high prevalence rate </w:t>
      </w:r>
      <w:r w:rsidR="00735B77" w:rsidRPr="00AE6F84">
        <w:t>rather than strong individual risk increase</w:t>
      </w:r>
      <w:r w:rsidR="009B5EE8" w:rsidRPr="00AE6F84">
        <w:t>.</w:t>
      </w:r>
      <w:r w:rsidR="00CB50B8" w:rsidRPr="00AE6F84">
        <w:t xml:space="preserve"> </w:t>
      </w:r>
      <w:r w:rsidR="003C21D1" w:rsidRPr="00AE6F84">
        <w:t xml:space="preserve">As </w:t>
      </w:r>
      <w:r w:rsidR="00DB2463" w:rsidRPr="00AE6F84">
        <w:t xml:space="preserve">some level of irreversible </w:t>
      </w:r>
      <w:r w:rsidR="003C21D1" w:rsidRPr="00AE6F84">
        <w:t xml:space="preserve">PD affects </w:t>
      </w:r>
      <w:r w:rsidR="00146829" w:rsidRPr="00AE6F84">
        <w:t xml:space="preserve">at least </w:t>
      </w:r>
      <w:r w:rsidR="003C21D1" w:rsidRPr="00AE6F84">
        <w:t xml:space="preserve">50% </w:t>
      </w:r>
      <w:r w:rsidR="00146829" w:rsidRPr="00AE6F84">
        <w:t>of over 65 year olds in England</w:t>
      </w:r>
      <w:r w:rsidR="000C149B" w:rsidRPr="00AE6F84">
        <w:t>, but with a modest per-person risk</w:t>
      </w:r>
      <w:r w:rsidR="00146829" w:rsidRPr="00AE6F84">
        <w:t xml:space="preserve"> </w:t>
      </w:r>
      <w:r w:rsidR="00626A8D" w:rsidRPr="00AE6F84">
        <w:t>(HR = 1.21)</w:t>
      </w:r>
      <w:r w:rsidR="000C149B" w:rsidRPr="00AE6F84">
        <w:t xml:space="preserve">, it offers a different but equally valuable </w:t>
      </w:r>
      <w:r w:rsidR="0010460B" w:rsidRPr="00AE6F84">
        <w:t xml:space="preserve">prevention pathway when compared to rarer but higher risk </w:t>
      </w:r>
      <w:proofErr w:type="spellStart"/>
      <w:r w:rsidR="001627C8" w:rsidRPr="00AE6F84">
        <w:t>risk</w:t>
      </w:r>
      <w:proofErr w:type="spellEnd"/>
      <w:r w:rsidR="001627C8" w:rsidRPr="00AE6F84">
        <w:t xml:space="preserve"> </w:t>
      </w:r>
      <w:r w:rsidR="0010460B" w:rsidRPr="00AE6F84">
        <w:t>facto</w:t>
      </w:r>
      <w:r w:rsidR="00E11251" w:rsidRPr="00AE6F84">
        <w:t>r</w:t>
      </w:r>
      <w:r w:rsidR="0010460B" w:rsidRPr="00AE6F84">
        <w:t xml:space="preserve">s, such as Type </w:t>
      </w:r>
      <w:r w:rsidR="00B465DA" w:rsidRPr="00AE6F84">
        <w:t xml:space="preserve">2 </w:t>
      </w:r>
      <w:r w:rsidR="0010460B" w:rsidRPr="00AE6F84">
        <w:t>diabetes</w:t>
      </w:r>
      <w:r w:rsidR="001627C8" w:rsidRPr="00AE6F84">
        <w:t xml:space="preserve"> (</w:t>
      </w:r>
      <w:r w:rsidR="0082005C" w:rsidRPr="00AE6F84">
        <w:t>p</w:t>
      </w:r>
      <w:r w:rsidR="001627C8" w:rsidRPr="00AE6F84">
        <w:t xml:space="preserve">revalence </w:t>
      </w:r>
      <w:r w:rsidR="0082005C" w:rsidRPr="00AE6F84">
        <w:t>4.5%, HR = 2.06)</w:t>
      </w:r>
      <w:r w:rsidR="001627C8" w:rsidRPr="00AE6F84">
        <w:t>.</w:t>
      </w:r>
      <w:r w:rsidR="0082005C" w:rsidRPr="00AE6F84">
        <w:t xml:space="preserve"> </w:t>
      </w:r>
    </w:p>
    <w:p w14:paraId="69DAF49D" w14:textId="1D0C604D" w:rsidR="000B29CC" w:rsidRPr="00AE6F84" w:rsidRDefault="00983153" w:rsidP="00DE3A1D">
      <w:r w:rsidRPr="00AE6F84">
        <w:t xml:space="preserve">Our findings are important in the current context of </w:t>
      </w:r>
      <w:r w:rsidR="00743E45" w:rsidRPr="00AE6F84">
        <w:t xml:space="preserve">the </w:t>
      </w:r>
      <w:r w:rsidRPr="00AE6F84">
        <w:t xml:space="preserve">deteriorating </w:t>
      </w:r>
      <w:r w:rsidR="00743E45" w:rsidRPr="00AE6F84">
        <w:t xml:space="preserve">English </w:t>
      </w:r>
      <w:r w:rsidR="00704D9D" w:rsidRPr="00AE6F84">
        <w:t xml:space="preserve">oral health </w:t>
      </w:r>
      <w:r w:rsidR="00743E45" w:rsidRPr="00AE6F84">
        <w:t xml:space="preserve">profile. The 2023 Adult Oral Health survey reported </w:t>
      </w:r>
      <w:r w:rsidR="00291A1E" w:rsidRPr="00AE6F84">
        <w:t xml:space="preserve">that the current oral health </w:t>
      </w:r>
      <w:r w:rsidR="00DD64FA" w:rsidRPr="00AE6F84">
        <w:t xml:space="preserve">of England is comparable to </w:t>
      </w:r>
      <w:r w:rsidR="00C52CD2" w:rsidRPr="00AE6F84">
        <w:t xml:space="preserve">that of 1998, with 44% of 65-74 year olds </w:t>
      </w:r>
      <w:r w:rsidR="00283115" w:rsidRPr="00AE6F84">
        <w:t xml:space="preserve">in 2023 </w:t>
      </w:r>
      <w:r w:rsidR="00C52CD2" w:rsidRPr="00AE6F84">
        <w:t>showing primary or secondary tooth decay, up from</w:t>
      </w:r>
      <w:r w:rsidR="00743E45" w:rsidRPr="00AE6F84">
        <w:t xml:space="preserve"> </w:t>
      </w:r>
      <w:r w:rsidR="00283115" w:rsidRPr="00AE6F84">
        <w:t>21% in 2009 [4</w:t>
      </w:r>
      <w:r w:rsidR="001057A5">
        <w:t>3</w:t>
      </w:r>
      <w:r w:rsidR="00283115" w:rsidRPr="00AE6F84">
        <w:t xml:space="preserve">]. </w:t>
      </w:r>
      <w:r w:rsidR="001C55FE" w:rsidRPr="00AE6F84">
        <w:t xml:space="preserve">Between 2009 and 2023 there was a 9 percentage points decrease </w:t>
      </w:r>
      <w:r w:rsidR="004F4614" w:rsidRPr="00AE6F84">
        <w:t>in the proportion who reported attending regular dental check-ups</w:t>
      </w:r>
      <w:r w:rsidR="00DA0C9F" w:rsidRPr="00AE6F84">
        <w:t xml:space="preserve">, and our findings add to the growing literature that </w:t>
      </w:r>
      <w:r w:rsidR="00B82688" w:rsidRPr="00AE6F84">
        <w:t xml:space="preserve">the negative effects of untreated PD </w:t>
      </w:r>
      <w:r w:rsidR="006A4E9A" w:rsidRPr="00AE6F84">
        <w:t>and a</w:t>
      </w:r>
      <w:r w:rsidR="00836D19" w:rsidRPr="00AE6F84">
        <w:t xml:space="preserve"> struggling dental </w:t>
      </w:r>
      <w:r w:rsidR="006A4E9A" w:rsidRPr="00AE6F84">
        <w:t xml:space="preserve"> </w:t>
      </w:r>
      <w:r w:rsidR="00836D19" w:rsidRPr="00AE6F84">
        <w:t xml:space="preserve">care system </w:t>
      </w:r>
      <w:r w:rsidR="00B82688" w:rsidRPr="00AE6F84">
        <w:t>will</w:t>
      </w:r>
      <w:r w:rsidR="009B16A2" w:rsidRPr="00AE6F84">
        <w:t xml:space="preserve"> have a </w:t>
      </w:r>
      <w:r w:rsidR="004F4614" w:rsidRPr="00AE6F84">
        <w:t xml:space="preserve">health </w:t>
      </w:r>
      <w:r w:rsidR="009B16A2" w:rsidRPr="00AE6F84">
        <w:t>system-wide effect [</w:t>
      </w:r>
      <w:r w:rsidR="00B85FAC" w:rsidRPr="00AE6F84">
        <w:t>4</w:t>
      </w:r>
      <w:r w:rsidR="001057A5">
        <w:t>4</w:t>
      </w:r>
      <w:r w:rsidR="009B16A2" w:rsidRPr="00AE6F84">
        <w:t xml:space="preserve">]. </w:t>
      </w:r>
      <w:r w:rsidR="00454A42" w:rsidRPr="00AE6F84">
        <w:t xml:space="preserve">Improved </w:t>
      </w:r>
      <w:r w:rsidR="008F1259" w:rsidRPr="00AE6F84">
        <w:t>attendance of preventable dental services</w:t>
      </w:r>
      <w:r w:rsidR="00281A00" w:rsidRPr="00AE6F84">
        <w:t xml:space="preserve"> by individuals</w:t>
      </w:r>
      <w:r w:rsidR="008F1259" w:rsidRPr="00AE6F84">
        <w:t xml:space="preserve"> could yield substantial </w:t>
      </w:r>
      <w:r w:rsidR="006C2F0B" w:rsidRPr="00AE6F84">
        <w:t xml:space="preserve">dementia-related </w:t>
      </w:r>
      <w:r w:rsidR="008F1259" w:rsidRPr="00AE6F84">
        <w:t xml:space="preserve">long-terms health and economic returns, especially if </w:t>
      </w:r>
      <w:r w:rsidR="006C2F0B" w:rsidRPr="00AE6F84">
        <w:t>PD is caught at an early stage</w:t>
      </w:r>
      <w:r w:rsidR="002B0FE3" w:rsidRPr="00AE6F84">
        <w:t xml:space="preserve"> or </w:t>
      </w:r>
      <w:r w:rsidR="0068113F" w:rsidRPr="00AE6F84">
        <w:t>in midlife</w:t>
      </w:r>
      <w:r w:rsidR="00171D1E" w:rsidRPr="00AE6F84">
        <w:t>.</w:t>
      </w:r>
      <w:r w:rsidR="0068113F" w:rsidRPr="00AE6F84">
        <w:t xml:space="preserve"> </w:t>
      </w:r>
      <w:r w:rsidR="0042184D" w:rsidRPr="00AE6F84">
        <w:t xml:space="preserve">Integrating oral health screening </w:t>
      </w:r>
      <w:r w:rsidR="00DA2E98" w:rsidRPr="00AE6F84">
        <w:t>i</w:t>
      </w:r>
      <w:r w:rsidR="0042184D" w:rsidRPr="00AE6F84">
        <w:t>nto existing</w:t>
      </w:r>
      <w:r w:rsidR="00B47417" w:rsidRPr="00AE6F84">
        <w:t xml:space="preserve"> general</w:t>
      </w:r>
      <w:r w:rsidR="0042184D" w:rsidRPr="00AE6F84">
        <w:t xml:space="preserve"> NHS health check-ups</w:t>
      </w:r>
      <w:r w:rsidR="00DA2E98" w:rsidRPr="00AE6F84">
        <w:t xml:space="preserve"> </w:t>
      </w:r>
      <w:r w:rsidR="00B47417" w:rsidRPr="00AE6F84">
        <w:t xml:space="preserve">or </w:t>
      </w:r>
      <w:r w:rsidR="007A51B9" w:rsidRPr="00AE6F84">
        <w:t>during chronic non-communicable</w:t>
      </w:r>
      <w:r w:rsidR="001F3719" w:rsidRPr="00AE6F84">
        <w:t xml:space="preserve"> </w:t>
      </w:r>
      <w:r w:rsidR="007A51B9" w:rsidRPr="00AE6F84">
        <w:t xml:space="preserve">disease </w:t>
      </w:r>
      <w:r w:rsidR="001F3719" w:rsidRPr="00AE6F84">
        <w:t xml:space="preserve">prevention pathways </w:t>
      </w:r>
      <w:r w:rsidR="007A51B9" w:rsidRPr="00AE6F84">
        <w:t xml:space="preserve">could identify individuals with severe PD who may benefit most from dental treatment. </w:t>
      </w:r>
      <w:r w:rsidR="007B7E5F" w:rsidRPr="00AE6F84">
        <w:t xml:space="preserve">Given severe PD’s high prevalence among older adults, even with </w:t>
      </w:r>
      <w:r w:rsidR="0041053C" w:rsidRPr="00AE6F84">
        <w:t xml:space="preserve">the magnitude of </w:t>
      </w:r>
      <w:r w:rsidR="007B7E5F" w:rsidRPr="00AE6F84">
        <w:t>its</w:t>
      </w:r>
      <w:r w:rsidR="005D15A7" w:rsidRPr="00AE6F84">
        <w:t xml:space="preserve"> </w:t>
      </w:r>
      <w:r w:rsidR="007B7E5F" w:rsidRPr="00AE6F84">
        <w:t>dementia</w:t>
      </w:r>
      <w:r w:rsidR="00195F44" w:rsidRPr="00AE6F84">
        <w:t xml:space="preserve">-causality pathway </w:t>
      </w:r>
      <w:r w:rsidR="0041053C" w:rsidRPr="00AE6F84">
        <w:t xml:space="preserve">being </w:t>
      </w:r>
      <w:r w:rsidR="00195F44" w:rsidRPr="00AE6F84">
        <w:t>undetermined</w:t>
      </w:r>
      <w:r w:rsidR="00601F04" w:rsidRPr="00AE6F84">
        <w:t xml:space="preserve">, it warrants consideration among </w:t>
      </w:r>
      <w:r w:rsidR="00A66230" w:rsidRPr="00AE6F84">
        <w:t xml:space="preserve">other </w:t>
      </w:r>
      <w:r w:rsidR="00601F04" w:rsidRPr="00AE6F84">
        <w:t>targe</w:t>
      </w:r>
      <w:r w:rsidR="00A66230" w:rsidRPr="00AE6F84">
        <w:t xml:space="preserve">ted high-risk strategies. </w:t>
      </w:r>
      <w:r w:rsidR="004B22E9">
        <w:t xml:space="preserve">We </w:t>
      </w:r>
      <w:r w:rsidR="00486C41">
        <w:t xml:space="preserve">acknowledge </w:t>
      </w:r>
      <w:r w:rsidR="001815AD">
        <w:t>the evidential limitations surrounding PD’s role in dementia onset found in the 2024 Lancet Commission</w:t>
      </w:r>
      <w:r w:rsidR="00954617">
        <w:t xml:space="preserve">, but the economic scale of the potential benefits demonstrated by our results, even under modest HR assumptions, </w:t>
      </w:r>
      <w:r w:rsidR="005A5539">
        <w:t>suggest that exclusion from the modifiable risk factor framework i</w:t>
      </w:r>
      <w:r w:rsidR="007C6EDE">
        <w:t>s not warranted</w:t>
      </w:r>
      <w:r w:rsidR="00773D92">
        <w:t xml:space="preserve"> [</w:t>
      </w:r>
      <w:r w:rsidR="00B40F48">
        <w:t>18</w:t>
      </w:r>
      <w:r w:rsidR="00773D92">
        <w:t>,</w:t>
      </w:r>
      <w:r w:rsidR="009657A4">
        <w:t>4</w:t>
      </w:r>
      <w:r w:rsidR="00B40F48">
        <w:t>5</w:t>
      </w:r>
      <w:r w:rsidR="00773D92">
        <w:t xml:space="preserve">]. </w:t>
      </w:r>
      <w:r w:rsidR="007C6EDE">
        <w:t xml:space="preserve">Further investigation through prospective studies and trial emulation will be key to establish </w:t>
      </w:r>
      <w:r w:rsidR="00C70B2F">
        <w:t>the magnitude of PD’s role in dementia.</w:t>
      </w:r>
    </w:p>
    <w:p w14:paraId="4C89F7CB" w14:textId="77777777" w:rsidR="00F316F3" w:rsidRPr="00AE6F84" w:rsidRDefault="00F316F3" w:rsidP="00DE3A1D">
      <w:pPr>
        <w:rPr>
          <w:b/>
          <w:bCs/>
        </w:rPr>
      </w:pPr>
    </w:p>
    <w:p w14:paraId="39A77032" w14:textId="311AE826" w:rsidR="00EF739F" w:rsidRDefault="00EF739F" w:rsidP="00DE3A1D">
      <w:r w:rsidRPr="00AE6F84">
        <w:t>The economic outcomes of ou</w:t>
      </w:r>
      <w:r w:rsidR="00031D5C" w:rsidRPr="00AE6F84">
        <w:t>r</w:t>
      </w:r>
      <w:r w:rsidRPr="00AE6F84">
        <w:t xml:space="preserve"> model are almost entirely modelled by </w:t>
      </w:r>
      <w:r w:rsidR="00EB2E6E" w:rsidRPr="00AE6F84">
        <w:t xml:space="preserve">the dynamics of care settings and trends. We expect that as more incident dementia cases accrue, and as individuals with </w:t>
      </w:r>
      <w:r w:rsidR="00942871" w:rsidRPr="00AE6F84">
        <w:t>dementia survive for</w:t>
      </w:r>
      <w:r w:rsidR="0027539F" w:rsidRPr="00AE6F84">
        <w:t xml:space="preserve"> more</w:t>
      </w:r>
      <w:r w:rsidR="00942871" w:rsidRPr="00AE6F84">
        <w:t xml:space="preserve"> years</w:t>
      </w:r>
      <w:r w:rsidR="0027539F" w:rsidRPr="00AE6F84">
        <w:t>,</w:t>
      </w:r>
      <w:r w:rsidR="00942871" w:rsidRPr="00AE6F84">
        <w:t xml:space="preserve"> institutional care setting</w:t>
      </w:r>
      <w:r w:rsidR="0027539F" w:rsidRPr="00AE6F84">
        <w:t xml:space="preserve">s are </w:t>
      </w:r>
      <w:r w:rsidR="0027539F" w:rsidRPr="00AE6F84">
        <w:lastRenderedPageBreak/>
        <w:t xml:space="preserve">required more. </w:t>
      </w:r>
      <w:r w:rsidR="00447767" w:rsidRPr="00AE6F84">
        <w:t>Institutionalisation rates increased from 12% in 2024 to 38</w:t>
      </w:r>
      <w:r w:rsidR="00C70F0E" w:rsidRPr="00AE6F84">
        <w:t>% in 2040</w:t>
      </w:r>
      <w:r w:rsidR="00E02F84" w:rsidRPr="00AE6F84">
        <w:t>, with institutional care</w:t>
      </w:r>
      <w:r w:rsidR="00212726" w:rsidRPr="00AE6F84">
        <w:t xml:space="preserve"> settings generating higher per-person annual costs than </w:t>
      </w:r>
      <w:r w:rsidR="007F0876" w:rsidRPr="00AE6F84">
        <w:t>inf</w:t>
      </w:r>
      <w:r w:rsidR="001D50A4" w:rsidRPr="00AE6F84">
        <w:t>ormal costs</w:t>
      </w:r>
      <w:r w:rsidR="00C219E9" w:rsidRPr="00AE6F84">
        <w:t>.</w:t>
      </w:r>
      <w:r w:rsidR="001D50A4" w:rsidRPr="00AE6F84">
        <w:t xml:space="preserve"> </w:t>
      </w:r>
      <w:r w:rsidR="00BB0908" w:rsidRPr="00AE6F84">
        <w:t>The higher institutional costs reflect the 24-hour professional care</w:t>
      </w:r>
      <w:r w:rsidR="00B616F0" w:rsidRPr="00AE6F84">
        <w:t xml:space="preserve"> staffing requirements, facility costs and trained staff </w:t>
      </w:r>
      <w:r w:rsidR="00626CB1" w:rsidRPr="00AE6F84">
        <w:t>that can manage symptoms</w:t>
      </w:r>
      <w:r w:rsidR="0055632E" w:rsidRPr="00AE6F84">
        <w:t xml:space="preserve">, rather than the more personal </w:t>
      </w:r>
      <w:r w:rsidR="001D73EE" w:rsidRPr="00AE6F84">
        <w:t>ye</w:t>
      </w:r>
      <w:r w:rsidR="00BA235A" w:rsidRPr="00AE6F84">
        <w:t xml:space="preserve">t less professional </w:t>
      </w:r>
      <w:r w:rsidR="0055632E" w:rsidRPr="00AE6F84">
        <w:t>one-to-one care of informal caregivers</w:t>
      </w:r>
      <w:r w:rsidR="00BA235A" w:rsidRPr="00AE6F84">
        <w:t>.</w:t>
      </w:r>
      <w:r w:rsidR="00A27013" w:rsidRPr="00AE6F84">
        <w:t xml:space="preserve"> Our results align with estimates that as many as 49% of individuals with dementia will be treated in a care home setting by 2040</w:t>
      </w:r>
      <w:r w:rsidR="00895043" w:rsidRPr="00AE6F84">
        <w:t>, driven by an increasing number of severe dementia cases (Supplementary Material, Figure XXX)</w:t>
      </w:r>
      <w:r w:rsidR="00A27013" w:rsidRPr="00AE6F84">
        <w:t xml:space="preserve"> [</w:t>
      </w:r>
      <w:r w:rsidR="00704FC5" w:rsidRPr="00AE6F84">
        <w:t>17</w:t>
      </w:r>
      <w:r w:rsidR="00A27013" w:rsidRPr="00AE6F84">
        <w:t>].</w:t>
      </w:r>
      <w:r w:rsidR="00704FC5" w:rsidRPr="00AE6F84">
        <w:t xml:space="preserve"> </w:t>
      </w:r>
      <w:r w:rsidR="001C3A3F" w:rsidRPr="001C3A3F">
        <w:t>Our one-way sensitivity analysis revealed that total costs decreased from baseline under both upper and lower HR bounds</w:t>
      </w:r>
      <w:r w:rsidR="001C3A3F">
        <w:t xml:space="preserve">, which demonstrates the </w:t>
      </w:r>
      <w:r w:rsidR="002E60C5">
        <w:t xml:space="preserve">care setting dynamics in our model. </w:t>
      </w:r>
      <w:r w:rsidR="00944664">
        <w:t xml:space="preserve">A higher HR accelerates progression </w:t>
      </w:r>
      <w:r w:rsidR="00F60B09">
        <w:t>through severity</w:t>
      </w:r>
      <w:r w:rsidR="00042235">
        <w:t xml:space="preserve"> stages into moderate stage</w:t>
      </w:r>
      <w:r w:rsidR="003209F8">
        <w:t>, where institutional care has lower per-person costs than home care</w:t>
      </w:r>
      <w:r w:rsidR="00F23D2E">
        <w:t xml:space="preserve">. Faster progression also increases mortality, reducing the cumulative person-years of care required. </w:t>
      </w:r>
    </w:p>
    <w:p w14:paraId="610C25B4" w14:textId="216E69F7" w:rsidR="009802DD" w:rsidRPr="00AE6F84" w:rsidRDefault="002E2A98" w:rsidP="00DE3A1D">
      <w:r>
        <w:t xml:space="preserve">Our </w:t>
      </w:r>
      <w:r w:rsidR="00C601C7">
        <w:t xml:space="preserve">cost per cases prevented (~£172,000) represents approximately </w:t>
      </w:r>
      <w:r w:rsidR="005A646A">
        <w:t>five years of dementia-related costs</w:t>
      </w:r>
      <w:r w:rsidR="00431BDB">
        <w:t xml:space="preserve"> at an average annual cost of </w:t>
      </w:r>
      <w:r w:rsidR="00C217B9">
        <w:t>£36,000 per person</w:t>
      </w:r>
      <w:r w:rsidR="005A646A">
        <w:t>.</w:t>
      </w:r>
      <w:r w:rsidR="00C217B9">
        <w:t xml:space="preserve"> This is comparable to</w:t>
      </w:r>
      <w:r w:rsidR="004B53C5">
        <w:t xml:space="preserve"> other previously published dementia projections.</w:t>
      </w:r>
      <w:r w:rsidR="00E97F79">
        <w:t xml:space="preserve"> </w:t>
      </w:r>
      <w:r w:rsidR="002204FF">
        <w:t>The total cost savings of £19.7bn over 2024-2040 translate to an annual average saving of £1.16bn</w:t>
      </w:r>
      <w:r w:rsidR="00987871">
        <w:t>. Population-lev</w:t>
      </w:r>
      <w:r w:rsidR="006E3F00">
        <w:t>el</w:t>
      </w:r>
      <w:r w:rsidR="00987871">
        <w:t xml:space="preserve"> interventions </w:t>
      </w:r>
      <w:r w:rsidR="00BB07CF">
        <w:t xml:space="preserve">combining hearing aids, smoking cessation and blood pressure treatment have been estimated to save £1.9bn annually </w:t>
      </w:r>
      <w:r w:rsidR="00992A46">
        <w:t>while reducing dementia prevalence by 8.5% [</w:t>
      </w:r>
      <w:r w:rsidR="004510E7">
        <w:t>4</w:t>
      </w:r>
      <w:r w:rsidR="00B40F48">
        <w:t>6</w:t>
      </w:r>
      <w:r w:rsidR="00992A46">
        <w:t>].</w:t>
      </w:r>
      <w:r w:rsidR="00E57012">
        <w:t xml:space="preserve"> </w:t>
      </w:r>
      <w:r w:rsidR="009D29FD">
        <w:t xml:space="preserve">Further analysis found that </w:t>
      </w:r>
      <w:r w:rsidR="003D3998">
        <w:t xml:space="preserve">reducing hypertension by </w:t>
      </w:r>
      <w:r w:rsidR="009D29FD">
        <w:t xml:space="preserve">the reformulation of food products to reduce salt </w:t>
      </w:r>
      <w:r w:rsidR="003D3998">
        <w:t xml:space="preserve">would lead to cost-savings of £2.4bn per age </w:t>
      </w:r>
      <w:r w:rsidR="00900E8A">
        <w:t>population</w:t>
      </w:r>
      <w:r w:rsidR="009261F1">
        <w:t xml:space="preserve"> [3</w:t>
      </w:r>
      <w:r w:rsidR="00702826">
        <w:t>7</w:t>
      </w:r>
      <w:r w:rsidR="009261F1">
        <w:t xml:space="preserve">]. </w:t>
      </w:r>
    </w:p>
    <w:p w14:paraId="2A44A861" w14:textId="77777777" w:rsidR="0072795E" w:rsidRPr="00AE6F84" w:rsidRDefault="0072795E" w:rsidP="00DE3A1D"/>
    <w:p w14:paraId="6C0A5B06" w14:textId="3F6B7BF2" w:rsidR="007063A5" w:rsidRPr="003F043C" w:rsidRDefault="007063A5" w:rsidP="00DE3A1D">
      <w:r w:rsidRPr="00AE6F84">
        <w:t>Using a per-capita basis</w:t>
      </w:r>
      <w:r w:rsidR="00010C4B">
        <w:t xml:space="preserve">, </w:t>
      </w:r>
      <w:r w:rsidR="00900E8A">
        <w:t>population</w:t>
      </w:r>
      <w:r w:rsidR="00010C4B">
        <w:t xml:space="preserve"> QALYs average</w:t>
      </w:r>
      <w:r w:rsidR="00E55787">
        <w:t>d 0.74 per person per year with less than 0.001 QALY/person/year</w:t>
      </w:r>
      <w:r w:rsidR="009D7790">
        <w:t xml:space="preserve"> variation across scenarios. </w:t>
      </w:r>
      <w:r w:rsidR="008E5EF1">
        <w:t xml:space="preserve">This </w:t>
      </w:r>
      <w:r w:rsidR="0012417C">
        <w:t>demonstrates that dementia prevention through lowering risk factors works by reducing</w:t>
      </w:r>
      <w:r w:rsidR="005852D4">
        <w:t xml:space="preserve"> </w:t>
      </w:r>
      <w:r w:rsidR="00CE17B0">
        <w:t xml:space="preserve">the number of individuals </w:t>
      </w:r>
      <w:r w:rsidR="00AB4FE2">
        <w:t xml:space="preserve">with dementia, and not by improving </w:t>
      </w:r>
      <w:r w:rsidR="00A24321">
        <w:t xml:space="preserve">existing </w:t>
      </w:r>
      <w:r w:rsidR="009802DD">
        <w:t>population health.</w:t>
      </w:r>
      <w:r w:rsidR="000C1D73">
        <w:t xml:space="preserve"> </w:t>
      </w:r>
      <w:r w:rsidR="00F10392">
        <w:t xml:space="preserve">Our </w:t>
      </w:r>
      <w:r w:rsidR="00126BE6">
        <w:t xml:space="preserve">small </w:t>
      </w:r>
      <w:r w:rsidR="00F10392">
        <w:t>QALY findings are a function of</w:t>
      </w:r>
      <w:r w:rsidR="00E96C1B">
        <w:t xml:space="preserve"> how dementia utility is measured</w:t>
      </w:r>
      <w:r w:rsidR="000B384C">
        <w:t>, and not a model limitation</w:t>
      </w:r>
      <w:r w:rsidR="00E96C1B">
        <w:t xml:space="preserve">. </w:t>
      </w:r>
      <w:r w:rsidR="001D2F1E">
        <w:t>It has been commonly discussed that u</w:t>
      </w:r>
      <w:r w:rsidR="00E96C1B">
        <w:t xml:space="preserve">tility values are </w:t>
      </w:r>
      <w:r w:rsidR="001D2F1E">
        <w:t>flawed at estimating</w:t>
      </w:r>
      <w:r w:rsidR="00E96C1B">
        <w:t xml:space="preserve"> the negative health effects of having dementia [</w:t>
      </w:r>
      <w:r w:rsidR="005A3DEC">
        <w:t>4</w:t>
      </w:r>
      <w:r w:rsidR="00B40F48">
        <w:t>7</w:t>
      </w:r>
      <w:r w:rsidR="00E96C1B">
        <w:t>].</w:t>
      </w:r>
      <w:r w:rsidR="00406925">
        <w:t xml:space="preserve"> </w:t>
      </w:r>
      <w:r w:rsidR="005A0083">
        <w:t>The utility values by dementia stage severity we have used are at the upper bound of suggested</w:t>
      </w:r>
      <w:r w:rsidR="00FA341A">
        <w:t xml:space="preserve"> values, but this was to be cautious when estimating final effects.</w:t>
      </w:r>
      <w:r w:rsidR="002D12F0">
        <w:t xml:space="preserve"> Caregiver QALYs were more responsive to PD prevalence changes</w:t>
      </w:r>
      <w:r w:rsidR="00AD7153">
        <w:t xml:space="preserve"> (25% PD prevalence: </w:t>
      </w:r>
      <w:r w:rsidR="008502E3">
        <w:t>10.20mn; 75% PD prevalence</w:t>
      </w:r>
      <w:r w:rsidR="002D3293">
        <w:t>: 10.90mn; 6.8% variation)</w:t>
      </w:r>
      <w:r w:rsidR="002D12F0">
        <w:t>, but this was expected given their structural dependence on dementia population size</w:t>
      </w:r>
      <w:r w:rsidR="007B5E82">
        <w:t xml:space="preserve">, and </w:t>
      </w:r>
      <w:r w:rsidR="007A3D95">
        <w:t>still demonstrated small variations</w:t>
      </w:r>
      <w:r w:rsidR="002D12F0">
        <w:t>.</w:t>
      </w:r>
      <w:r w:rsidR="007A3D95">
        <w:t xml:space="preserve"> </w:t>
      </w:r>
      <w:r w:rsidR="00935168">
        <w:t>Given the QALY results</w:t>
      </w:r>
      <w:r w:rsidR="003F043C">
        <w:t xml:space="preserve"> in comparison to the other outputs</w:t>
      </w:r>
      <w:r w:rsidR="00935168">
        <w:t xml:space="preserve">, </w:t>
      </w:r>
      <w:r w:rsidR="003F043C">
        <w:t xml:space="preserve">we suggest that the case for PD reduction </w:t>
      </w:r>
      <w:r w:rsidR="000B31D9">
        <w:t xml:space="preserve">relevant to caregivers derives more </w:t>
      </w:r>
      <w:r w:rsidR="002A7FB2">
        <w:t xml:space="preserve">from </w:t>
      </w:r>
      <w:r w:rsidR="000B31D9">
        <w:t xml:space="preserve">informal care </w:t>
      </w:r>
      <w:r w:rsidR="002A7FB2">
        <w:t>cost savings</w:t>
      </w:r>
      <w:r w:rsidR="00183248">
        <w:t xml:space="preserve"> due to the value of unpaid caregiving time</w:t>
      </w:r>
      <w:r w:rsidR="00A81639">
        <w:t>. This finding is consistent with the literature on prevention-focused dementia interventions [</w:t>
      </w:r>
      <w:r w:rsidR="00183248">
        <w:t>4</w:t>
      </w:r>
      <w:r w:rsidR="00B40F48">
        <w:t>8</w:t>
      </w:r>
      <w:r w:rsidR="00A81639">
        <w:t>].</w:t>
      </w:r>
      <w:r w:rsidR="002A7FB2">
        <w:t xml:space="preserve"> </w:t>
      </w:r>
      <w:r w:rsidR="002D7062">
        <w:t xml:space="preserve">Our findings support the view that </w:t>
      </w:r>
      <w:r w:rsidR="00EA5D13">
        <w:t xml:space="preserve">individual-level results </w:t>
      </w:r>
      <w:r w:rsidR="00EA5D13">
        <w:lastRenderedPageBreak/>
        <w:t xml:space="preserve">(QALYs per-person) can be modest but the societal benefits </w:t>
      </w:r>
      <w:r w:rsidR="00474A71">
        <w:t xml:space="preserve">can be large due to the </w:t>
      </w:r>
      <w:r w:rsidR="00000FD7">
        <w:t xml:space="preserve">size of the </w:t>
      </w:r>
      <w:r w:rsidR="00474A71">
        <w:t>potential target population [</w:t>
      </w:r>
      <w:r w:rsidR="00B40F48">
        <w:t>49</w:t>
      </w:r>
      <w:r w:rsidR="00474A71">
        <w:t>].</w:t>
      </w:r>
    </w:p>
    <w:p w14:paraId="66495B52" w14:textId="77777777" w:rsidR="00EF739F" w:rsidRPr="00AE6F84" w:rsidRDefault="00EF739F" w:rsidP="00DE3A1D">
      <w:pPr>
        <w:rPr>
          <w:b/>
          <w:bCs/>
        </w:rPr>
      </w:pPr>
    </w:p>
    <w:p w14:paraId="6AED8CF3" w14:textId="53FCEAB4" w:rsidR="00E1596E" w:rsidRPr="00AE6F84" w:rsidRDefault="009B765A" w:rsidP="00DE3A1D">
      <w:pPr>
        <w:rPr>
          <w:b/>
          <w:bCs/>
        </w:rPr>
      </w:pPr>
      <w:r w:rsidRPr="00AE6F84">
        <w:rPr>
          <w:b/>
          <w:bCs/>
        </w:rPr>
        <w:t>Strengths and limitations</w:t>
      </w:r>
    </w:p>
    <w:p w14:paraId="5F840C97" w14:textId="57416C49" w:rsidR="00ED61D2" w:rsidRDefault="00C53E81" w:rsidP="00DE3A1D">
      <w:r w:rsidRPr="00C53E81">
        <w:t xml:space="preserve">This </w:t>
      </w:r>
      <w:r>
        <w:t xml:space="preserve">study </w:t>
      </w:r>
      <w:r w:rsidRPr="00C53E81">
        <w:t xml:space="preserve">has several </w:t>
      </w:r>
      <w:r>
        <w:t xml:space="preserve">strengths. </w:t>
      </w:r>
      <w:r w:rsidR="00484AE9">
        <w:t>By using an individual-level microsimulation model we are able to more accurately capture heterogeneity in dementia progress</w:t>
      </w:r>
      <w:r w:rsidR="00AA042C">
        <w:t>ion</w:t>
      </w:r>
      <w:r w:rsidR="00484AE9">
        <w:t xml:space="preserve"> and associated care </w:t>
      </w:r>
      <w:r w:rsidR="00400C82">
        <w:t xml:space="preserve">patterns than aggregate </w:t>
      </w:r>
      <w:r w:rsidR="00900E8A">
        <w:t>population</w:t>
      </w:r>
      <w:r w:rsidR="00400C82">
        <w:t xml:space="preserve"> models. This is especially true </w:t>
      </w:r>
      <w:r w:rsidR="00E410A9">
        <w:t>for capturing competing risks</w:t>
      </w:r>
      <w:r w:rsidR="00131F78">
        <w:t xml:space="preserve"> </w:t>
      </w:r>
      <w:r w:rsidR="00552392">
        <w:t xml:space="preserve">factors, as we have incorporated multiple established dementia risk factors, alongside PD. </w:t>
      </w:r>
      <w:r w:rsidR="005E336D">
        <w:t>This avoids the overestimation of PD’s isolated effect.</w:t>
      </w:r>
      <w:r w:rsidR="00FB3FE4">
        <w:t xml:space="preserve"> A key </w:t>
      </w:r>
      <w:r w:rsidR="00050D5A">
        <w:t xml:space="preserve">strength is our use of </w:t>
      </w:r>
      <w:r w:rsidR="00451E04">
        <w:t>recent</w:t>
      </w:r>
      <w:r w:rsidR="00A427BA">
        <w:t xml:space="preserve"> </w:t>
      </w:r>
      <w:r w:rsidR="001A3505">
        <w:t>ONS population projections (from 2023)</w:t>
      </w:r>
      <w:r w:rsidR="00191C62">
        <w:t xml:space="preserve">, 2024 cost estimates, and dementia late stage onset HRs from a large national </w:t>
      </w:r>
      <w:r w:rsidR="00900E8A">
        <w:t>population</w:t>
      </w:r>
      <w:r w:rsidR="00191C62">
        <w:t xml:space="preserve"> study (</w:t>
      </w:r>
      <w:r w:rsidR="00534EE1">
        <w:t xml:space="preserve">UK </w:t>
      </w:r>
      <w:r w:rsidR="00191C62">
        <w:t>Biobank) with no dementia controlled at baseline</w:t>
      </w:r>
      <w:r w:rsidR="004A6E11">
        <w:t xml:space="preserve"> [32]</w:t>
      </w:r>
      <w:r w:rsidR="00191C62">
        <w:t xml:space="preserve">. </w:t>
      </w:r>
      <w:r w:rsidR="009540E4">
        <w:t xml:space="preserve">We have based our model structure on the English population. However, given our use of HRs and prevalences from the UK Biobank </w:t>
      </w:r>
      <w:r w:rsidR="0055600C">
        <w:t>our model is likely to be generalisable to the whole of the UK, given re-initialisation of baseline population to the specific country or region.</w:t>
      </w:r>
      <w:r w:rsidR="00044459">
        <w:t xml:space="preserve"> </w:t>
      </w:r>
    </w:p>
    <w:p w14:paraId="2BB9802B" w14:textId="6B3A309E" w:rsidR="00D1720F" w:rsidRDefault="002D68B4" w:rsidP="00DE3A1D">
      <w:r>
        <w:t>Our model has</w:t>
      </w:r>
      <w:r w:rsidR="00F84BF8">
        <w:t xml:space="preserve"> several structure limitations that are bounded by the </w:t>
      </w:r>
      <w:r w:rsidR="008E04E3">
        <w:t xml:space="preserve">data </w:t>
      </w:r>
      <w:r w:rsidR="00F84BF8">
        <w:t>available</w:t>
      </w:r>
      <w:r w:rsidR="008E04E3">
        <w:t>. Our model assumes constant risk factor</w:t>
      </w:r>
      <w:r w:rsidR="000338F2">
        <w:t xml:space="preserve"> prevalence and HRs over time. </w:t>
      </w:r>
      <w:r w:rsidR="00E42EEF">
        <w:t xml:space="preserve">This does not reflect </w:t>
      </w:r>
      <w:r w:rsidR="0055236F">
        <w:t xml:space="preserve">the </w:t>
      </w:r>
      <w:r w:rsidR="00E42EEF">
        <w:t>reality</w:t>
      </w:r>
      <w:r w:rsidR="00F84BF8">
        <w:t xml:space="preserve"> </w:t>
      </w:r>
      <w:r w:rsidR="0055236F">
        <w:t xml:space="preserve">of the over 65 years population in England, where risk factor prevalence is likely to vary </w:t>
      </w:r>
      <w:r w:rsidR="00A94F7A">
        <w:t xml:space="preserve">as </w:t>
      </w:r>
      <w:r w:rsidR="00D33B0A">
        <w:t xml:space="preserve">targeted </w:t>
      </w:r>
      <w:r w:rsidR="00A94F7A">
        <w:t>initiatives lead to a more or less healthy population.</w:t>
      </w:r>
      <w:r w:rsidR="006171AD">
        <w:t xml:space="preserve"> </w:t>
      </w:r>
      <w:r w:rsidR="00211214">
        <w:t xml:space="preserve">We also model PD, and </w:t>
      </w:r>
      <w:r w:rsidR="00E75428">
        <w:t xml:space="preserve">other risk factors such as hypertension and Type </w:t>
      </w:r>
      <w:r w:rsidR="00EF56CD">
        <w:t>2</w:t>
      </w:r>
      <w:r w:rsidR="00E75428">
        <w:t xml:space="preserve"> diabetes, as binary risk factors. </w:t>
      </w:r>
      <w:r w:rsidR="00605D00">
        <w:t xml:space="preserve">This does not capture the severity gradients </w:t>
      </w:r>
      <w:r w:rsidR="00C73056">
        <w:t xml:space="preserve">of the diseases </w:t>
      </w:r>
      <w:r w:rsidR="00605D00">
        <w:t xml:space="preserve">that will </w:t>
      </w:r>
      <w:r w:rsidR="00C73056">
        <w:t>affect</w:t>
      </w:r>
      <w:r w:rsidR="008E5C2C">
        <w:t xml:space="preserve"> the onset of dementia [</w:t>
      </w:r>
      <w:r w:rsidR="00702826">
        <w:t>5</w:t>
      </w:r>
      <w:r w:rsidR="00B40F48">
        <w:t>0</w:t>
      </w:r>
      <w:r w:rsidR="008E5C2C">
        <w:t xml:space="preserve">]. </w:t>
      </w:r>
      <w:r w:rsidR="004D7FA5" w:rsidRPr="004D7FA5">
        <w:t>PD does not interact with other risk factors in our model</w:t>
      </w:r>
      <w:r w:rsidR="004D7FA5">
        <w:t>. T</w:t>
      </w:r>
      <w:r w:rsidR="004D7FA5" w:rsidRPr="004D7FA5">
        <w:t>he joint effect of having both PD and hypertension is assumed to be the product of their individual HRs, with no additional interactive effect. Despite established links between PD, obesity, and hypertension, there is an absence of evidence that quantifies any departure from multiplicative joint effects on dementia incidence</w:t>
      </w:r>
      <w:r w:rsidR="004D7FA5">
        <w:t xml:space="preserve"> [52]</w:t>
      </w:r>
      <w:r w:rsidR="004D7FA5" w:rsidRPr="004D7FA5">
        <w:t>.</w:t>
      </w:r>
      <w:r w:rsidR="004D7FA5">
        <w:t xml:space="preserve"> </w:t>
      </w:r>
      <w:r w:rsidR="00396BCA">
        <w:t xml:space="preserve">Adding such interactions into this model </w:t>
      </w:r>
      <w:r w:rsidR="00F46A80">
        <w:t>relying on</w:t>
      </w:r>
      <w:r w:rsidR="004F4EAB">
        <w:t xml:space="preserve"> </w:t>
      </w:r>
      <w:r w:rsidR="00391DD4">
        <w:t xml:space="preserve">using multiple different </w:t>
      </w:r>
      <w:r w:rsidR="004F4EAB">
        <w:t>studies from various study populations</w:t>
      </w:r>
      <w:r w:rsidR="00391DD4">
        <w:t xml:space="preserve"> would introduce additional heterogeneity. </w:t>
      </w:r>
      <w:r w:rsidR="009C6A61">
        <w:t xml:space="preserve">Finally, our model relies on observational HRs which may include residual confounding despite covariate adjustment </w:t>
      </w:r>
      <w:r w:rsidR="00BB78EB">
        <w:t>in the source study.</w:t>
      </w:r>
      <w:r w:rsidR="005532FD">
        <w:t xml:space="preserve"> </w:t>
      </w:r>
      <w:r w:rsidR="000959FB">
        <w:t>T</w:t>
      </w:r>
      <w:r w:rsidR="00360E28">
        <w:t xml:space="preserve">hese sources </w:t>
      </w:r>
      <w:r w:rsidR="001873B7">
        <w:t xml:space="preserve">generally adjusted for comorbidities, such as hypertension </w:t>
      </w:r>
      <w:r w:rsidR="00FB3E23">
        <w:t xml:space="preserve">and diabetes, which we modelled as independent risk factors. </w:t>
      </w:r>
      <w:r w:rsidR="00CF6853">
        <w:t xml:space="preserve">Therefore, applying </w:t>
      </w:r>
      <w:r w:rsidR="00FB3E23">
        <w:t>these covariate-adjusted HRs</w:t>
      </w:r>
      <w:r w:rsidR="002D009C">
        <w:t xml:space="preserve"> multiplicatively may have actually resulted in more conservative estimates </w:t>
      </w:r>
      <w:r w:rsidR="00360E28">
        <w:t xml:space="preserve">as the PD HR used captures only its direct effect on dementia onset. </w:t>
      </w:r>
    </w:p>
    <w:p w14:paraId="79253D3C" w14:textId="77777777" w:rsidR="009540E4" w:rsidRPr="00AE6F84" w:rsidRDefault="009540E4" w:rsidP="00DE3A1D"/>
    <w:p w14:paraId="2D7EDC02" w14:textId="599ECD88" w:rsidR="00ED61D2" w:rsidRPr="00AE6F84" w:rsidRDefault="00E1596E" w:rsidP="00DE3A1D">
      <w:pPr>
        <w:rPr>
          <w:b/>
          <w:bCs/>
          <w:sz w:val="28"/>
          <w:szCs w:val="28"/>
        </w:rPr>
      </w:pPr>
      <w:r w:rsidRPr="00AE6F84">
        <w:rPr>
          <w:b/>
          <w:bCs/>
          <w:sz w:val="28"/>
          <w:szCs w:val="28"/>
        </w:rPr>
        <w:t>Conclusion</w:t>
      </w:r>
    </w:p>
    <w:p w14:paraId="6297CFC4" w14:textId="4D51E331" w:rsidR="00ED61D2" w:rsidRPr="00AE6F84" w:rsidRDefault="00990AE5" w:rsidP="00DE3A1D">
      <w:r>
        <w:lastRenderedPageBreak/>
        <w:t xml:space="preserve">PD’s contribution to the dementia burden in over 65 year olds in England derives </w:t>
      </w:r>
      <w:r w:rsidR="00542509">
        <w:t>from its high population prevalence rather than strong individual-level risk</w:t>
      </w:r>
      <w:r w:rsidR="001D2A2D">
        <w:t>. The deteriorating oral health profile of England</w:t>
      </w:r>
      <w:r w:rsidR="0095221F">
        <w:t xml:space="preserve">, which includes declining </w:t>
      </w:r>
      <w:r w:rsidR="0063123C">
        <w:t xml:space="preserve">dental appointment attendance and worsening periodontal </w:t>
      </w:r>
      <w:r w:rsidR="00437FB4">
        <w:t>outcomes, make</w:t>
      </w:r>
      <w:r w:rsidR="00C87050">
        <w:t>s</w:t>
      </w:r>
      <w:r w:rsidR="00437FB4">
        <w:t xml:space="preserve"> our finding</w:t>
      </w:r>
      <w:r w:rsidR="00C87050">
        <w:t>s</w:t>
      </w:r>
      <w:r w:rsidR="00437FB4">
        <w:t xml:space="preserve"> key in </w:t>
      </w:r>
      <w:r w:rsidR="00DA1FDD">
        <w:t xml:space="preserve">disease intervention planning. </w:t>
      </w:r>
      <w:r w:rsidR="00EA00B0">
        <w:t xml:space="preserve">Our </w:t>
      </w:r>
      <w:r w:rsidR="00CA39F7">
        <w:t>results support the case for including PD within the established modifiable dementia risk factor frameworks</w:t>
      </w:r>
      <w:r w:rsidR="00CA06CB">
        <w:t xml:space="preserve">, especially due to the absence of individual-level </w:t>
      </w:r>
      <w:r w:rsidR="006C7DA5">
        <w:t xml:space="preserve">interventions in England that target these at risk populations. </w:t>
      </w:r>
      <w:r w:rsidR="008B470C">
        <w:t>Given the best available evidence, we estimate that h</w:t>
      </w:r>
      <w:r w:rsidR="00E03538" w:rsidRPr="00E03538">
        <w:t>alving PD prevalence to 25% could prevent approximately 115,000 dementia cases and save £19.7 billion over 2024–2040.</w:t>
      </w:r>
      <w:r w:rsidR="00E03538">
        <w:t xml:space="preserve"> </w:t>
      </w:r>
      <w:r w:rsidR="006C7DA5">
        <w:t xml:space="preserve">The results of our </w:t>
      </w:r>
      <w:r w:rsidR="009D0F85">
        <w:t>sensitivity analysis show that the economic and health impacts a</w:t>
      </w:r>
      <w:r w:rsidR="00A76E9E">
        <w:t xml:space="preserve">re substantial across </w:t>
      </w:r>
      <w:r w:rsidR="000C0AAC">
        <w:t>PD-dementia onset magnitudes</w:t>
      </w:r>
      <w:r w:rsidR="00DE4E52">
        <w:t xml:space="preserve">, conditional on the observed PD-dementia association being causal. Given this, future research needs to </w:t>
      </w:r>
      <w:r w:rsidR="00B209B7">
        <w:t>include prospective studies and intervention trials with long follow-up</w:t>
      </w:r>
      <w:r w:rsidR="001C3FE4">
        <w:t xml:space="preserve"> to establish the true size of this cau</w:t>
      </w:r>
      <w:r w:rsidR="00C87050">
        <w:t>s</w:t>
      </w:r>
      <w:r w:rsidR="001C3FE4">
        <w:t xml:space="preserve">al effect. The </w:t>
      </w:r>
      <w:r w:rsidR="00271E93">
        <w:t xml:space="preserve">advantage of open source microsimulation models such as this one </w:t>
      </w:r>
      <w:r w:rsidR="00AE15E6">
        <w:t xml:space="preserve">is that they can be easily updated </w:t>
      </w:r>
      <w:r w:rsidR="00C87050">
        <w:t>as</w:t>
      </w:r>
      <w:r w:rsidR="00AE15E6">
        <w:t xml:space="preserve"> new evidence arises. </w:t>
      </w:r>
    </w:p>
    <w:p w14:paraId="2FD38626" w14:textId="77777777" w:rsidR="00ED61D2" w:rsidRPr="00AE6F84" w:rsidRDefault="00ED61D2" w:rsidP="00DE3A1D"/>
    <w:p w14:paraId="355FD7E9" w14:textId="77777777" w:rsidR="00B47B3C" w:rsidRPr="00AE6F84" w:rsidRDefault="00B47B3C" w:rsidP="00DE3A1D"/>
    <w:p w14:paraId="253BED58" w14:textId="77777777" w:rsidR="00B47B3C" w:rsidRPr="00AE6F84" w:rsidRDefault="00B47B3C" w:rsidP="00DE3A1D"/>
    <w:p w14:paraId="1837B359" w14:textId="77777777" w:rsidR="00B47B3C" w:rsidRPr="00AE6F84" w:rsidRDefault="00B47B3C" w:rsidP="00DE3A1D"/>
    <w:p w14:paraId="0204996D" w14:textId="77777777" w:rsidR="00B47B3C" w:rsidRPr="00AE6F84" w:rsidRDefault="00B47B3C" w:rsidP="00DE3A1D"/>
    <w:p w14:paraId="6474DCBB" w14:textId="77777777" w:rsidR="00B47B3C" w:rsidRPr="00AE6F84" w:rsidRDefault="00B47B3C" w:rsidP="00DE3A1D"/>
    <w:p w14:paraId="583AD332" w14:textId="77777777" w:rsidR="00B47B3C" w:rsidRPr="00AE6F84" w:rsidRDefault="00B47B3C" w:rsidP="00DE3A1D"/>
    <w:p w14:paraId="18CACBC7" w14:textId="77777777" w:rsidR="00B47B3C" w:rsidRPr="00AE6F84" w:rsidRDefault="00B47B3C" w:rsidP="00DE3A1D"/>
    <w:p w14:paraId="6F3EF68B" w14:textId="77777777" w:rsidR="00B47B3C" w:rsidRPr="00AE6F84" w:rsidRDefault="00B47B3C" w:rsidP="00DE3A1D"/>
    <w:p w14:paraId="58D19BF7" w14:textId="77777777" w:rsidR="00B47B3C" w:rsidRPr="00AE6F84" w:rsidRDefault="00B47B3C" w:rsidP="00DE3A1D"/>
    <w:p w14:paraId="04CA864F" w14:textId="77777777" w:rsidR="00B47B3C" w:rsidRPr="00AE6F84" w:rsidRDefault="00B47B3C" w:rsidP="00DE3A1D"/>
    <w:p w14:paraId="59766780" w14:textId="77777777" w:rsidR="00B47B3C" w:rsidRPr="00AE6F84" w:rsidRDefault="00B47B3C" w:rsidP="00DE3A1D"/>
    <w:p w14:paraId="3B24BD4A" w14:textId="77777777" w:rsidR="00B47B3C" w:rsidRPr="00AE6F84" w:rsidRDefault="00B47B3C" w:rsidP="00DE3A1D"/>
    <w:p w14:paraId="14630E4B" w14:textId="77777777" w:rsidR="00B47B3C" w:rsidRPr="00AE6F84" w:rsidRDefault="00B47B3C" w:rsidP="00DE3A1D"/>
    <w:p w14:paraId="17C45FCB" w14:textId="77777777" w:rsidR="00B47B3C" w:rsidRPr="00AE6F84" w:rsidRDefault="00B47B3C" w:rsidP="00DE3A1D"/>
    <w:p w14:paraId="6585AC8C" w14:textId="77777777" w:rsidR="00B47B3C" w:rsidRPr="00AE6F84" w:rsidRDefault="00B47B3C" w:rsidP="00DE3A1D"/>
    <w:p w14:paraId="3A96BE20" w14:textId="77777777" w:rsidR="00B47B3C" w:rsidRPr="00AE6F84" w:rsidRDefault="00B47B3C" w:rsidP="00DE3A1D"/>
    <w:p w14:paraId="19ACDCAB" w14:textId="77777777" w:rsidR="00B47B3C" w:rsidRPr="00AE6F84" w:rsidRDefault="00B47B3C" w:rsidP="00DE3A1D"/>
    <w:p w14:paraId="12EB693E" w14:textId="77777777" w:rsidR="00B47B3C" w:rsidRPr="00AE6F84" w:rsidRDefault="00B47B3C" w:rsidP="00DE3A1D"/>
    <w:p w14:paraId="5DCEF6EE" w14:textId="77777777" w:rsidR="00ED61D2" w:rsidRPr="00AE6F84" w:rsidRDefault="00ED61D2" w:rsidP="00DE3A1D"/>
    <w:p w14:paraId="23ED76BC" w14:textId="77777777" w:rsidR="00E977CF" w:rsidRPr="00AE6F84" w:rsidRDefault="00E977CF" w:rsidP="00DE3A1D"/>
    <w:p w14:paraId="1BCF4E08" w14:textId="77777777" w:rsidR="00E977CF" w:rsidRPr="00AE6F84" w:rsidRDefault="00E977CF" w:rsidP="00DE3A1D"/>
    <w:p w14:paraId="6F59BF9A" w14:textId="77777777" w:rsidR="00E977CF" w:rsidRPr="00AE6F84" w:rsidRDefault="00E977CF" w:rsidP="00E977CF">
      <w:pPr>
        <w:rPr>
          <w:b/>
          <w:bCs/>
        </w:rPr>
      </w:pPr>
      <w:r w:rsidRPr="00AE6F84">
        <w:rPr>
          <w:b/>
          <w:bCs/>
        </w:rPr>
        <w:t>References</w:t>
      </w:r>
    </w:p>
    <w:p w14:paraId="61187546" w14:textId="77777777" w:rsidR="00E977CF" w:rsidRPr="00AE6F84" w:rsidRDefault="00E977CF" w:rsidP="00E977CF">
      <w:r w:rsidRPr="00AE6F84">
        <w:t xml:space="preserve">[1] Department of Health and Social Care, NHS England. </w:t>
      </w:r>
      <w:r w:rsidRPr="00AE6F84">
        <w:rPr>
          <w:i/>
          <w:iCs/>
        </w:rPr>
        <w:t>Delivering better oral health: an evidence-based toolkit for prevention. Chapter 5: periodontal diseases.</w:t>
      </w:r>
      <w:r w:rsidRPr="00AE6F84">
        <w:t xml:space="preserve"> London: Department of Health and Social Care; updated 10 September 2025. Available from: </w:t>
      </w:r>
      <w:hyperlink r:id="rId8" w:history="1">
        <w:r w:rsidRPr="00AE6F84">
          <w:rPr>
            <w:rStyle w:val="Hyperlink"/>
          </w:rPr>
          <w:t>https://www.gov.uk/government/publications/delivering-better-oral-health-an-evidence-based-toolkit-for-prevention/chapter-5-periodontal-diseases</w:t>
        </w:r>
      </w:hyperlink>
      <w:r w:rsidRPr="00AE6F84">
        <w:t>.</w:t>
      </w:r>
    </w:p>
    <w:p w14:paraId="0257E1DD" w14:textId="77777777" w:rsidR="00E977CF" w:rsidRPr="00AE6F84" w:rsidRDefault="00E977CF" w:rsidP="00E977CF">
      <w:r w:rsidRPr="00AE6F84">
        <w:t xml:space="preserve">[2] World Health Organization. </w:t>
      </w:r>
      <w:r w:rsidRPr="00AE6F84">
        <w:rPr>
          <w:i/>
          <w:iCs/>
        </w:rPr>
        <w:t>Global oral health status report: towards universal health coverage for oral health by 2030.</w:t>
      </w:r>
      <w:r w:rsidRPr="00AE6F84">
        <w:t xml:space="preserve"> Geneva: World Health Organization; 2022 [Accessed 30 October 2025]. Available from: </w:t>
      </w:r>
      <w:hyperlink r:id="rId9" w:history="1">
        <w:r w:rsidRPr="00AE6F84">
          <w:rPr>
            <w:rStyle w:val="Hyperlink"/>
          </w:rPr>
          <w:t>https://www.who.int/publications/i/item/9789240061484</w:t>
        </w:r>
      </w:hyperlink>
      <w:r w:rsidRPr="00AE6F84">
        <w:t>.</w:t>
      </w:r>
    </w:p>
    <w:p w14:paraId="00809030" w14:textId="77777777" w:rsidR="00E977CF" w:rsidRPr="00AE6F84" w:rsidRDefault="00E977CF" w:rsidP="00E977CF">
      <w:r w:rsidRPr="00AE6F84">
        <w:t xml:space="preserve">[3] United Nations Department of Economic and Social Affairs, Population Division. </w:t>
      </w:r>
      <w:r w:rsidRPr="00AE6F84">
        <w:rPr>
          <w:i/>
          <w:iCs/>
        </w:rPr>
        <w:t>World population prospects.</w:t>
      </w:r>
      <w:r w:rsidRPr="00AE6F84">
        <w:t xml:space="preserve"> 2022 [Accessed October 21 2025]. Available from: </w:t>
      </w:r>
      <w:hyperlink r:id="rId10" w:history="1">
        <w:r w:rsidRPr="00AE6F84">
          <w:rPr>
            <w:rStyle w:val="Hyperlink"/>
          </w:rPr>
          <w:t>https://population.un.org/wpp/Download/Standard/Population/</w:t>
        </w:r>
      </w:hyperlink>
      <w:r w:rsidRPr="00AE6F84">
        <w:t>.</w:t>
      </w:r>
    </w:p>
    <w:p w14:paraId="5F283E0E" w14:textId="77777777" w:rsidR="00E977CF" w:rsidRPr="00AE6F84" w:rsidRDefault="00E977CF" w:rsidP="00E977CF">
      <w:r w:rsidRPr="00AE6F84">
        <w:t xml:space="preserve">[4] Elamin A, Ansah JP. Projecting the burden of dental caries and periodontal diseases among the adult population in the United Kingdom using a multi-state population model. </w:t>
      </w:r>
      <w:r w:rsidRPr="00AE6F84">
        <w:rPr>
          <w:i/>
          <w:iCs/>
        </w:rPr>
        <w:t>Front Public Health</w:t>
      </w:r>
      <w:r w:rsidRPr="00AE6F84">
        <w:t>. 2023;11:1190197. doi:10.3389/fpubh.2023.1190197.</w:t>
      </w:r>
    </w:p>
    <w:p w14:paraId="25E18DE7" w14:textId="77777777" w:rsidR="00E977CF" w:rsidRPr="00AE6F84" w:rsidRDefault="00E977CF" w:rsidP="00E977CF">
      <w:r w:rsidRPr="00AE6F84">
        <w:t xml:space="preserve">[5] Pazos P, Leira Y, Domínguez C, </w:t>
      </w:r>
      <w:proofErr w:type="spellStart"/>
      <w:r w:rsidRPr="00AE6F84">
        <w:t>Pías-Peleteiro</w:t>
      </w:r>
      <w:proofErr w:type="spellEnd"/>
      <w:r w:rsidRPr="00AE6F84">
        <w:t xml:space="preserve"> JM, Blanco J, </w:t>
      </w:r>
      <w:proofErr w:type="spellStart"/>
      <w:r w:rsidRPr="00AE6F84">
        <w:t>Aldrey</w:t>
      </w:r>
      <w:proofErr w:type="spellEnd"/>
      <w:r w:rsidRPr="00AE6F84">
        <w:t xml:space="preserve"> JM. Association between periodontal disease and dementia: a literature review. </w:t>
      </w:r>
      <w:proofErr w:type="spellStart"/>
      <w:r w:rsidRPr="00AE6F84">
        <w:rPr>
          <w:i/>
          <w:iCs/>
        </w:rPr>
        <w:t>Neurologia</w:t>
      </w:r>
      <w:proofErr w:type="spellEnd"/>
      <w:r w:rsidRPr="00AE6F84">
        <w:rPr>
          <w:i/>
          <w:iCs/>
        </w:rPr>
        <w:t xml:space="preserve"> (Engl Ed)</w:t>
      </w:r>
      <w:r w:rsidRPr="00AE6F84">
        <w:t>. 2018;33(9):602–613. doi:10.1016/j.nrleng.2016.09.017.</w:t>
      </w:r>
    </w:p>
    <w:p w14:paraId="590D9016" w14:textId="77777777" w:rsidR="00E977CF" w:rsidRPr="00AE6F84" w:rsidRDefault="00E977CF" w:rsidP="00E977CF">
      <w:r w:rsidRPr="00AE6F84">
        <w:t xml:space="preserve">[6] Nadim R, Tang J, </w:t>
      </w:r>
      <w:proofErr w:type="spellStart"/>
      <w:r w:rsidRPr="00AE6F84">
        <w:t>Dilmohamed</w:t>
      </w:r>
      <w:proofErr w:type="spellEnd"/>
      <w:r w:rsidRPr="00AE6F84">
        <w:t xml:space="preserve"> A, Yuan S, Wu C, Bakre AT, Partridge M, Ni J, Copeland JR, Anstey KJ, Chen R. Influence of periodontal disease on risk of dementia. </w:t>
      </w:r>
      <w:r w:rsidRPr="00AE6F84">
        <w:rPr>
          <w:i/>
          <w:iCs/>
        </w:rPr>
        <w:t>European journal of epidemiology</w:t>
      </w:r>
      <w:r w:rsidRPr="00AE6F84">
        <w:t>. 2020;35(9):821-33.</w:t>
      </w:r>
    </w:p>
    <w:p w14:paraId="785D8C88" w14:textId="77777777" w:rsidR="00E977CF" w:rsidRPr="00AE6F84" w:rsidRDefault="00E977CF" w:rsidP="00E977CF">
      <w:r w:rsidRPr="00AE6F84">
        <w:t xml:space="preserve">[7] Watts A, Crimmins EM, Gatz M. Inflammation as a potential mediator for the association between periodontal disease and Alzheimer’s disease. </w:t>
      </w:r>
      <w:proofErr w:type="spellStart"/>
      <w:r w:rsidRPr="00AE6F84">
        <w:rPr>
          <w:i/>
          <w:iCs/>
        </w:rPr>
        <w:t>Neuropsychiatr</w:t>
      </w:r>
      <w:proofErr w:type="spellEnd"/>
      <w:r w:rsidRPr="00AE6F84">
        <w:rPr>
          <w:i/>
          <w:iCs/>
        </w:rPr>
        <w:t xml:space="preserve"> Dis Treat</w:t>
      </w:r>
      <w:r w:rsidRPr="00AE6F84">
        <w:t>. 2008;4(5):865–876. doi:10.2147/ndt.s3610.</w:t>
      </w:r>
    </w:p>
    <w:p w14:paraId="37E536DE" w14:textId="77777777" w:rsidR="00E977CF" w:rsidRPr="00AE6F84" w:rsidRDefault="00E977CF" w:rsidP="00E977CF">
      <w:r w:rsidRPr="00AE6F84">
        <w:t xml:space="preserve">[8] Carter CJ, France J, Crean S, </w:t>
      </w:r>
      <w:proofErr w:type="spellStart"/>
      <w:r w:rsidRPr="00AE6F84">
        <w:t>Singhrao</w:t>
      </w:r>
      <w:proofErr w:type="spellEnd"/>
      <w:r w:rsidRPr="00AE6F84">
        <w:t xml:space="preserve"> SK. The Porphyromonas gingivalis/host interactome shows enrichment in </w:t>
      </w:r>
      <w:proofErr w:type="spellStart"/>
      <w:r w:rsidRPr="00AE6F84">
        <w:t>GWASdb</w:t>
      </w:r>
      <w:proofErr w:type="spellEnd"/>
      <w:r w:rsidRPr="00AE6F84">
        <w:t xml:space="preserve"> genes related to Alzheimer’s disease, diabetes and cardiovascular diseases. </w:t>
      </w:r>
      <w:r w:rsidRPr="00AE6F84">
        <w:rPr>
          <w:i/>
          <w:iCs/>
        </w:rPr>
        <w:t xml:space="preserve">Front Aging </w:t>
      </w:r>
      <w:proofErr w:type="spellStart"/>
      <w:r w:rsidRPr="00AE6F84">
        <w:rPr>
          <w:i/>
          <w:iCs/>
        </w:rPr>
        <w:t>Neurosci</w:t>
      </w:r>
      <w:proofErr w:type="spellEnd"/>
      <w:r w:rsidRPr="00AE6F84">
        <w:t>. 2017;9:408. doi:10.3389/fnagi.2017.00408.</w:t>
      </w:r>
    </w:p>
    <w:p w14:paraId="6F76A70E" w14:textId="77777777" w:rsidR="00E977CF" w:rsidRPr="00AE6F84" w:rsidRDefault="00E977CF" w:rsidP="00E977CF">
      <w:r w:rsidRPr="00AE6F84">
        <w:lastRenderedPageBreak/>
        <w:t xml:space="preserve">[9] Borsa L, Dubois M, Sacco G, Lupi L. Analysis of the link between periodontal diseases and Alzheimer’s disease: a systematic review. </w:t>
      </w:r>
      <w:r w:rsidRPr="00AE6F84">
        <w:rPr>
          <w:i/>
          <w:iCs/>
        </w:rPr>
        <w:t>Int J Environ Res Public Health</w:t>
      </w:r>
      <w:r w:rsidRPr="00AE6F84">
        <w:t>. 2021;18(17):9312. doi:10.3390/ijerph18179312.</w:t>
      </w:r>
    </w:p>
    <w:p w14:paraId="35F3BE12" w14:textId="77777777" w:rsidR="00E977CF" w:rsidRPr="00AE6F84" w:rsidRDefault="00E977CF" w:rsidP="00E977CF">
      <w:r w:rsidRPr="00AE6F84">
        <w:t xml:space="preserve">[10] </w:t>
      </w:r>
      <w:proofErr w:type="spellStart"/>
      <w:r w:rsidRPr="00AE6F84">
        <w:t>Dibello</w:t>
      </w:r>
      <w:proofErr w:type="spellEnd"/>
      <w:r w:rsidRPr="00AE6F84">
        <w:t xml:space="preserve"> V, </w:t>
      </w:r>
      <w:proofErr w:type="spellStart"/>
      <w:r w:rsidRPr="00AE6F84">
        <w:t>Custodero</w:t>
      </w:r>
      <w:proofErr w:type="spellEnd"/>
      <w:r w:rsidRPr="00AE6F84">
        <w:t xml:space="preserve"> C, Cavalcanti R, </w:t>
      </w:r>
      <w:proofErr w:type="spellStart"/>
      <w:r w:rsidRPr="00AE6F84">
        <w:t>Lafornara</w:t>
      </w:r>
      <w:proofErr w:type="spellEnd"/>
      <w:r w:rsidRPr="00AE6F84">
        <w:t xml:space="preserve"> D, </w:t>
      </w:r>
      <w:proofErr w:type="spellStart"/>
      <w:r w:rsidRPr="00AE6F84">
        <w:t>Dibello</w:t>
      </w:r>
      <w:proofErr w:type="spellEnd"/>
      <w:r w:rsidRPr="00AE6F84">
        <w:t xml:space="preserve"> A, </w:t>
      </w:r>
      <w:proofErr w:type="spellStart"/>
      <w:r w:rsidRPr="00AE6F84">
        <w:t>Lozupone</w:t>
      </w:r>
      <w:proofErr w:type="spellEnd"/>
      <w:r w:rsidRPr="00AE6F84">
        <w:t xml:space="preserve"> M, Daniele A, </w:t>
      </w:r>
      <w:proofErr w:type="spellStart"/>
      <w:r w:rsidRPr="00AE6F84">
        <w:t>Pilotto</w:t>
      </w:r>
      <w:proofErr w:type="spellEnd"/>
      <w:r w:rsidRPr="00AE6F84">
        <w:t xml:space="preserve"> A, Panza F, </w:t>
      </w:r>
      <w:proofErr w:type="spellStart"/>
      <w:r w:rsidRPr="00AE6F84">
        <w:t>Solfrizzi</w:t>
      </w:r>
      <w:proofErr w:type="spellEnd"/>
      <w:r w:rsidRPr="00AE6F84">
        <w:t xml:space="preserve"> V. Impact of periodontal disease on cognitive disorders, dementia, and depression: a systematic review and meta-analysis. </w:t>
      </w:r>
      <w:proofErr w:type="spellStart"/>
      <w:r w:rsidRPr="00AE6F84">
        <w:rPr>
          <w:i/>
          <w:iCs/>
        </w:rPr>
        <w:t>Geroscience</w:t>
      </w:r>
      <w:proofErr w:type="spellEnd"/>
      <w:r w:rsidRPr="00AE6F84">
        <w:t>. 2024;46(5):5133–5169. doi:10.1007/s11357-024-01237-1.</w:t>
      </w:r>
    </w:p>
    <w:p w14:paraId="62CF8749" w14:textId="77777777" w:rsidR="00E977CF" w:rsidRPr="00426FE7" w:rsidRDefault="00E977CF" w:rsidP="00E977CF">
      <w:pPr>
        <w:rPr>
          <w:lang w:val="de-DE"/>
        </w:rPr>
      </w:pPr>
      <w:r w:rsidRPr="00AE6F84">
        <w:t xml:space="preserve">[11] Gao C, Kang J. Oral diseases are associated with cognitive decline and dementia. In: Oral microbiome: symbiosis, dysbiosis and microbiome interventions for maintaining oral and systemic health. </w:t>
      </w:r>
      <w:r w:rsidRPr="00426FE7">
        <w:rPr>
          <w:lang w:val="de-DE"/>
        </w:rPr>
        <w:t>2025 Mar 21. p.171–183. doi:10.1007/978-3-031-55574-7_11.</w:t>
      </w:r>
    </w:p>
    <w:p w14:paraId="4E85F80D" w14:textId="77777777" w:rsidR="00E977CF" w:rsidRPr="00AE6F84" w:rsidRDefault="00E977CF" w:rsidP="00E977CF">
      <w:r w:rsidRPr="00426FE7">
        <w:rPr>
          <w:lang w:val="de-DE"/>
        </w:rPr>
        <w:t xml:space="preserve">[12] Schwahn C, Frenzel S, </w:t>
      </w:r>
      <w:proofErr w:type="spellStart"/>
      <w:r w:rsidRPr="00426FE7">
        <w:rPr>
          <w:lang w:val="de-DE"/>
        </w:rPr>
        <w:t>Holtfreter</w:t>
      </w:r>
      <w:proofErr w:type="spellEnd"/>
      <w:r w:rsidRPr="00426FE7">
        <w:rPr>
          <w:lang w:val="de-DE"/>
        </w:rPr>
        <w:t xml:space="preserve"> B, et al. </w:t>
      </w:r>
      <w:r w:rsidRPr="00AE6F84">
        <w:t xml:space="preserve">Effect of periodontal treatment on preclinical Alzheimer’s disease—results of a trial emulation approach. </w:t>
      </w:r>
      <w:proofErr w:type="spellStart"/>
      <w:r w:rsidRPr="00AE6F84">
        <w:rPr>
          <w:i/>
          <w:iCs/>
        </w:rPr>
        <w:t>Alzheimers</w:t>
      </w:r>
      <w:proofErr w:type="spellEnd"/>
      <w:r w:rsidRPr="00AE6F84">
        <w:rPr>
          <w:i/>
          <w:iCs/>
        </w:rPr>
        <w:t xml:space="preserve"> Dement</w:t>
      </w:r>
      <w:r w:rsidRPr="00AE6F84">
        <w:t>. 2022;18:127–141. doi:10.1002/alz.12378.</w:t>
      </w:r>
    </w:p>
    <w:p w14:paraId="0489E038" w14:textId="1903296C" w:rsidR="00E977CF" w:rsidRPr="00AE6F84" w:rsidRDefault="00E977CF" w:rsidP="00E977CF">
      <w:r w:rsidRPr="00AE6F84">
        <w:t xml:space="preserve">[13] Ho HA, Kim BR, Shin H. Association of periodontal disease treatment with mortality in patients with dementia: a population-based retrospective </w:t>
      </w:r>
      <w:r w:rsidR="00207A6B">
        <w:t>cohort</w:t>
      </w:r>
      <w:r w:rsidRPr="00AE6F84">
        <w:t xml:space="preserve"> study (2002–2018). </w:t>
      </w:r>
      <w:r w:rsidRPr="00AE6F84">
        <w:rPr>
          <w:i/>
          <w:iCs/>
        </w:rPr>
        <w:t>Sci Rep</w:t>
      </w:r>
      <w:r w:rsidRPr="00AE6F84">
        <w:t>. 2024;14:5243. doi:10.1038/s41598-024-55272-6.</w:t>
      </w:r>
    </w:p>
    <w:p w14:paraId="386B817C" w14:textId="034A7589" w:rsidR="00E977CF" w:rsidRPr="00AE6F84" w:rsidRDefault="00E977CF" w:rsidP="00E977CF">
      <w:r w:rsidRPr="00AE6F84">
        <w:t>[14] Chen CK, Wu YT, Chang YC. Association between chronic periodontitis and the risk of Alzheimer’s disease: a retrospective, population-based, matched-</w:t>
      </w:r>
      <w:r w:rsidR="002A21E3">
        <w:t>cohort</w:t>
      </w:r>
      <w:r w:rsidRPr="00AE6F84">
        <w:t xml:space="preserve"> study. </w:t>
      </w:r>
      <w:proofErr w:type="spellStart"/>
      <w:r w:rsidRPr="00AE6F84">
        <w:rPr>
          <w:i/>
          <w:iCs/>
        </w:rPr>
        <w:t>Alzheimers</w:t>
      </w:r>
      <w:proofErr w:type="spellEnd"/>
      <w:r w:rsidRPr="00AE6F84">
        <w:rPr>
          <w:i/>
          <w:iCs/>
        </w:rPr>
        <w:t xml:space="preserve"> Res Ther</w:t>
      </w:r>
      <w:r w:rsidRPr="00AE6F84">
        <w:t>. 2017;9(1):56. doi:10.1186/s13195-017-0282-6.</w:t>
      </w:r>
    </w:p>
    <w:p w14:paraId="0F535448" w14:textId="6C78AE20" w:rsidR="00E977CF" w:rsidRPr="00AE6F84" w:rsidRDefault="00E977CF" w:rsidP="00E977CF">
      <w:r w:rsidRPr="00AE6F84">
        <w:t xml:space="preserve">[15] Lee YT, Lee HC, Hu CJ, Huang LK, Chao SP, Lin CP, Su EC, Lee YC, Chen CC. Periodontitis as a modifiable risk factor for dementia: a nationwide population-based </w:t>
      </w:r>
      <w:r w:rsidR="002A21E3">
        <w:t>cohort</w:t>
      </w:r>
      <w:r w:rsidRPr="00AE6F84">
        <w:t xml:space="preserve"> study. </w:t>
      </w:r>
      <w:r w:rsidRPr="00AE6F84">
        <w:rPr>
          <w:i/>
          <w:iCs/>
        </w:rPr>
        <w:t xml:space="preserve">J Am </w:t>
      </w:r>
      <w:proofErr w:type="spellStart"/>
      <w:r w:rsidRPr="00AE6F84">
        <w:rPr>
          <w:i/>
          <w:iCs/>
        </w:rPr>
        <w:t>Geriatr</w:t>
      </w:r>
      <w:proofErr w:type="spellEnd"/>
      <w:r w:rsidRPr="00AE6F84">
        <w:rPr>
          <w:i/>
          <w:iCs/>
        </w:rPr>
        <w:t xml:space="preserve"> Soc</w:t>
      </w:r>
      <w:r w:rsidRPr="00AE6F84">
        <w:t>. 2017;65(2):301–305. doi:10.1111/jgs.14517.</w:t>
      </w:r>
    </w:p>
    <w:p w14:paraId="0AD506A8" w14:textId="77777777" w:rsidR="00E977CF" w:rsidRPr="00AE6F84" w:rsidRDefault="00E977CF" w:rsidP="00E977CF">
      <w:r w:rsidRPr="00AE6F84">
        <w:t xml:space="preserve">[16] Choi S, Kim K, Chang J, Kim SM, Kim SJ, Cho HJ, Park SM. Association of chronic periodontitis with Alzheimer’s disease or vascular dementia. </w:t>
      </w:r>
      <w:r w:rsidRPr="00AE6F84">
        <w:rPr>
          <w:i/>
          <w:iCs/>
        </w:rPr>
        <w:t xml:space="preserve">J Am </w:t>
      </w:r>
      <w:proofErr w:type="spellStart"/>
      <w:r w:rsidRPr="00AE6F84">
        <w:rPr>
          <w:i/>
          <w:iCs/>
        </w:rPr>
        <w:t>Geriatr</w:t>
      </w:r>
      <w:proofErr w:type="spellEnd"/>
      <w:r w:rsidRPr="00AE6F84">
        <w:rPr>
          <w:i/>
          <w:iCs/>
        </w:rPr>
        <w:t xml:space="preserve"> Soc</w:t>
      </w:r>
      <w:r w:rsidRPr="00AE6F84">
        <w:t>. 2019;67(6):1234–1239. doi:10.1111/jgs.15802.</w:t>
      </w:r>
    </w:p>
    <w:p w14:paraId="296D0CDC" w14:textId="77777777" w:rsidR="00E977CF" w:rsidRPr="00AE6F84" w:rsidRDefault="00E977CF" w:rsidP="00E977CF">
      <w:r w:rsidRPr="00AE6F84">
        <w:t xml:space="preserve">[17] Wittenberg R, Hu B, Barraza-Araiza L, Rehill A. </w:t>
      </w:r>
      <w:r w:rsidRPr="00AE6F84">
        <w:rPr>
          <w:i/>
          <w:iCs/>
        </w:rPr>
        <w:t>Projections of older people living with dementia and costs of dementia care in the United Kingdom, 2019–2040</w:t>
      </w:r>
      <w:r w:rsidRPr="00AE6F84">
        <w:t>. London: Care Policy and Evaluation Centre, London School of Economics and Political Science; 2019 Nov. Report No.: 79.</w:t>
      </w:r>
    </w:p>
    <w:p w14:paraId="579325BE" w14:textId="5013524C" w:rsidR="00E977CF" w:rsidRPr="00AE6F84" w:rsidRDefault="00E977CF" w:rsidP="00E977CF">
      <w:r w:rsidRPr="00AE6F84">
        <w:t xml:space="preserve">[18] </w:t>
      </w:r>
      <w:r w:rsidR="00C51802" w:rsidRPr="00C51802">
        <w:t xml:space="preserve">Livingston G, Huntley J, Liu KY, </w:t>
      </w:r>
      <w:proofErr w:type="spellStart"/>
      <w:r w:rsidR="00C51802" w:rsidRPr="00C51802">
        <w:t>Costafreda</w:t>
      </w:r>
      <w:proofErr w:type="spellEnd"/>
      <w:r w:rsidR="00C51802" w:rsidRPr="00C51802">
        <w:t xml:space="preserve"> SG, </w:t>
      </w:r>
      <w:proofErr w:type="spellStart"/>
      <w:r w:rsidR="00C51802" w:rsidRPr="00C51802">
        <w:t>Selbæk</w:t>
      </w:r>
      <w:proofErr w:type="spellEnd"/>
      <w:r w:rsidR="00C51802" w:rsidRPr="00C51802">
        <w:t xml:space="preserve"> G, Alladi S, Ames D, Banerjee S, Burns A, </w:t>
      </w:r>
      <w:proofErr w:type="spellStart"/>
      <w:r w:rsidR="00C51802" w:rsidRPr="00C51802">
        <w:t>Brayne</w:t>
      </w:r>
      <w:proofErr w:type="spellEnd"/>
      <w:r w:rsidR="00C51802" w:rsidRPr="00C51802">
        <w:t xml:space="preserve"> C, Fox NC, et al. Dementia prevention, intervention, and care: 2024 report of the Lancet Standing Commission. Lancet. 2024;404(10452):572–628. doi:10.1016/S0140-6736(24)01296-0.</w:t>
      </w:r>
    </w:p>
    <w:p w14:paraId="431BD15A" w14:textId="77777777" w:rsidR="00E977CF" w:rsidRPr="00AE6F84" w:rsidRDefault="00E977CF" w:rsidP="00E977CF">
      <w:r w:rsidRPr="00AE6F84">
        <w:t xml:space="preserve">[19] Chen Y, Araghi M, </w:t>
      </w:r>
      <w:proofErr w:type="spellStart"/>
      <w:r w:rsidRPr="00AE6F84">
        <w:t>Bandosz</w:t>
      </w:r>
      <w:proofErr w:type="spellEnd"/>
      <w:r w:rsidRPr="00AE6F84">
        <w:t xml:space="preserve"> P, Shipley MJ, Ahmadi-Abhari S, Lobanov-Rostovsky S, Venkatraman T, </w:t>
      </w:r>
      <w:proofErr w:type="spellStart"/>
      <w:r w:rsidRPr="00AE6F84">
        <w:t>Kivimaki</w:t>
      </w:r>
      <w:proofErr w:type="spellEnd"/>
      <w:r w:rsidRPr="00AE6F84">
        <w:t xml:space="preserve"> M, O’Flaherty M, Brunner EJ. Impact of hypertension </w:t>
      </w:r>
      <w:r w:rsidRPr="00AE6F84">
        <w:lastRenderedPageBreak/>
        <w:t xml:space="preserve">prevalence trend on mortality and burdens of dementia and disability in England and Wales to 2060: a simulation modelling study. </w:t>
      </w:r>
      <w:r w:rsidRPr="00AE6F84">
        <w:rPr>
          <w:i/>
          <w:iCs/>
        </w:rPr>
        <w:t>Lancet Healthy Longev</w:t>
      </w:r>
      <w:r w:rsidRPr="00AE6F84">
        <w:t>. 2023;4(9):e470–e477. doi:10.1016/S2666-7568(23)00163-5.</w:t>
      </w:r>
    </w:p>
    <w:p w14:paraId="1D3B2FAE" w14:textId="77777777" w:rsidR="00E977CF" w:rsidRPr="00AE6F84" w:rsidRDefault="00E977CF" w:rsidP="00E977CF">
      <w:r w:rsidRPr="00AE6F84">
        <w:t xml:space="preserve">[20] Office for National Statistics. Estimates of the population for England and Wales [Internet]. 2023 [Accessed October 20 2025]. Available from: </w:t>
      </w:r>
      <w:hyperlink r:id="rId11" w:history="1">
        <w:r w:rsidRPr="00AE6F84">
          <w:rPr>
            <w:rStyle w:val="Hyperlink"/>
          </w:rPr>
          <w:t>https://www.ons.gov.uk/peoplepopulationandcommunity/populationandmigration/populationestimates/datasets/estimatesofthepopulationforenglandandwales</w:t>
        </w:r>
      </w:hyperlink>
      <w:r w:rsidRPr="00AE6F84">
        <w:t>.</w:t>
      </w:r>
    </w:p>
    <w:p w14:paraId="02A0F2B7" w14:textId="77777777" w:rsidR="00E977CF" w:rsidRPr="00AE6F84" w:rsidRDefault="00E977CF" w:rsidP="00E977CF">
      <w:r w:rsidRPr="00AE6F84">
        <w:t xml:space="preserve">[21] Office for National Statistics. Population projections for regions by five-year age groups and sex, England. 2023 [Accessed October 20 2025]. Available from: </w:t>
      </w:r>
      <w:hyperlink r:id="rId12" w:history="1">
        <w:r w:rsidRPr="00AE6F84">
          <w:rPr>
            <w:rStyle w:val="Hyperlink"/>
          </w:rPr>
          <w:t>https://www.ons.gov.uk/peoplepopulationandcommunity/populationandmigration/populationprojections/datasets/regionsinenglandtable1</w:t>
        </w:r>
      </w:hyperlink>
      <w:r w:rsidRPr="00AE6F84">
        <w:t>.</w:t>
      </w:r>
    </w:p>
    <w:p w14:paraId="738C1B69" w14:textId="77777777" w:rsidR="00E977CF" w:rsidRPr="00AE6F84" w:rsidRDefault="00E977CF" w:rsidP="00E977CF">
      <w:r w:rsidRPr="00AE6F84">
        <w:t xml:space="preserve">[22] NHS Digital. Primary Care Dementia Data, December 2023. England: NHS Digital; 2024 [Accessed October 20 2025]. Available from: </w:t>
      </w:r>
      <w:hyperlink r:id="rId13" w:tgtFrame="_new" w:history="1">
        <w:r w:rsidRPr="00AE6F84">
          <w:rPr>
            <w:rStyle w:val="Hyperlink"/>
          </w:rPr>
          <w:t>https://digital.nhs.uk/data-and-information/publications/statistical/primary-care-dementia-data/december-2023</w:t>
        </w:r>
      </w:hyperlink>
    </w:p>
    <w:p w14:paraId="61048F8B" w14:textId="3C47AB48" w:rsidR="00E977CF" w:rsidRPr="00AE6F84" w:rsidRDefault="00E977CF" w:rsidP="00E977CF">
      <w:r w:rsidRPr="00426FE7">
        <w:rPr>
          <w:lang w:val="de-DE"/>
        </w:rPr>
        <w:t xml:space="preserve">[23] Brück CC, Wolters FJ, Ikram MA, de Kok IM. </w:t>
      </w:r>
      <w:r w:rsidRPr="00AE6F84">
        <w:t xml:space="preserve">Projected prevalence and incidence of dementia accounting for secular trends and birth </w:t>
      </w:r>
      <w:r w:rsidR="00900E8A">
        <w:t>population</w:t>
      </w:r>
      <w:r w:rsidRPr="00AE6F84">
        <w:t xml:space="preserve"> effects: a population-based microsimulation study. </w:t>
      </w:r>
      <w:proofErr w:type="spellStart"/>
      <w:r w:rsidRPr="00AE6F84">
        <w:rPr>
          <w:i/>
          <w:iCs/>
        </w:rPr>
        <w:t>Eur</w:t>
      </w:r>
      <w:proofErr w:type="spellEnd"/>
      <w:r w:rsidRPr="00AE6F84">
        <w:rPr>
          <w:i/>
          <w:iCs/>
        </w:rPr>
        <w:t xml:space="preserve"> J </w:t>
      </w:r>
      <w:proofErr w:type="spellStart"/>
      <w:r w:rsidRPr="00AE6F84">
        <w:rPr>
          <w:i/>
          <w:iCs/>
        </w:rPr>
        <w:t>Epidemiol</w:t>
      </w:r>
      <w:proofErr w:type="spellEnd"/>
      <w:r w:rsidRPr="00AE6F84">
        <w:t>. 2022;37(8):807–814. doi:10.1007/s10654-022-00894-8.</w:t>
      </w:r>
    </w:p>
    <w:p w14:paraId="0703B6C5" w14:textId="77777777" w:rsidR="00E977CF" w:rsidRPr="00AE6F84" w:rsidRDefault="00E977CF" w:rsidP="00E977CF">
      <w:r w:rsidRPr="00AE6F84">
        <w:t xml:space="preserve">[24] </w:t>
      </w:r>
      <w:proofErr w:type="spellStart"/>
      <w:r w:rsidRPr="00AE6F84">
        <w:t>Ermini</w:t>
      </w:r>
      <w:proofErr w:type="spellEnd"/>
      <w:r w:rsidRPr="00AE6F84">
        <w:t xml:space="preserve"> Leaf D, Tysinger B, Goldman DP, Lakdawalla DN. Predicting quantity and quality of life with the Future Elderly Model. </w:t>
      </w:r>
      <w:r w:rsidRPr="00AE6F84">
        <w:rPr>
          <w:i/>
          <w:iCs/>
        </w:rPr>
        <w:t>Health Econ</w:t>
      </w:r>
      <w:r w:rsidRPr="00AE6F84">
        <w:t>. 2021;30(</w:t>
      </w:r>
      <w:proofErr w:type="spellStart"/>
      <w:r w:rsidRPr="00AE6F84">
        <w:t>Suppl</w:t>
      </w:r>
      <w:proofErr w:type="spellEnd"/>
      <w:r w:rsidRPr="00AE6F84">
        <w:t xml:space="preserve"> 1):52–79. doi:10.1002/hec.4445. </w:t>
      </w:r>
    </w:p>
    <w:p w14:paraId="34874CEE" w14:textId="77777777" w:rsidR="00E977CF" w:rsidRPr="00AE6F84" w:rsidRDefault="00E977CF" w:rsidP="00E977CF">
      <w:r w:rsidRPr="00AE6F84">
        <w:t xml:space="preserve">[25] </w:t>
      </w:r>
      <w:proofErr w:type="spellStart"/>
      <w:r w:rsidRPr="00AE6F84">
        <w:t>Olfson</w:t>
      </w:r>
      <w:proofErr w:type="spellEnd"/>
      <w:r w:rsidRPr="00AE6F84">
        <w:t xml:space="preserve"> M, Stroup TS, Huang C, Wall MM, Gerhard T. Age and incidence of dementia diagnosis. </w:t>
      </w:r>
      <w:r w:rsidRPr="00AE6F84">
        <w:rPr>
          <w:i/>
          <w:iCs/>
        </w:rPr>
        <w:t>J Gen Intern Med</w:t>
      </w:r>
      <w:r w:rsidRPr="00AE6F84">
        <w:t xml:space="preserve">. 2021;36(7):2167–2169. doi:10.1007/s11606-021-06670-y. </w:t>
      </w:r>
    </w:p>
    <w:p w14:paraId="459F0420" w14:textId="77777777" w:rsidR="00E977CF" w:rsidRPr="00426FE7" w:rsidRDefault="00E977CF" w:rsidP="00E977CF">
      <w:pPr>
        <w:rPr>
          <w:lang w:val="fr-FR"/>
        </w:rPr>
      </w:pPr>
      <w:r w:rsidRPr="00AE6F84">
        <w:t xml:space="preserve">[26] Besley S, </w:t>
      </w:r>
      <w:proofErr w:type="spellStart"/>
      <w:r w:rsidRPr="00AE6F84">
        <w:t>Kourouklis</w:t>
      </w:r>
      <w:proofErr w:type="spellEnd"/>
      <w:r w:rsidRPr="00AE6F84">
        <w:t xml:space="preserve"> D, O’Neill P, Garau M. </w:t>
      </w:r>
      <w:r w:rsidRPr="00AE6F84">
        <w:rPr>
          <w:i/>
          <w:iCs/>
        </w:rPr>
        <w:t>Dementia in the UK: estimating the potential future impact and return on research investment.</w:t>
      </w:r>
      <w:r w:rsidRPr="00AE6F84">
        <w:t xml:space="preserve"> London: Office of Health Economics; 2023. Available from: https://www.ohe.org/publications. </w:t>
      </w:r>
      <w:r w:rsidRPr="00426FE7">
        <w:rPr>
          <w:lang w:val="fr-FR"/>
        </w:rPr>
        <w:t>(</w:t>
      </w:r>
      <w:proofErr w:type="spellStart"/>
      <w:r w:rsidRPr="00426FE7">
        <w:rPr>
          <w:lang w:val="fr-FR"/>
        </w:rPr>
        <w:t>Accessed</w:t>
      </w:r>
      <w:proofErr w:type="spellEnd"/>
      <w:r w:rsidRPr="00426FE7">
        <w:rPr>
          <w:lang w:val="fr-FR"/>
        </w:rPr>
        <w:t xml:space="preserve"> 1 </w:t>
      </w:r>
      <w:proofErr w:type="spellStart"/>
      <w:r w:rsidRPr="00426FE7">
        <w:rPr>
          <w:lang w:val="fr-FR"/>
        </w:rPr>
        <w:t>Dec</w:t>
      </w:r>
      <w:proofErr w:type="spellEnd"/>
      <w:r w:rsidRPr="00426FE7">
        <w:rPr>
          <w:lang w:val="fr-FR"/>
        </w:rPr>
        <w:t xml:space="preserve"> 2025).</w:t>
      </w:r>
    </w:p>
    <w:p w14:paraId="006E2C46" w14:textId="77777777" w:rsidR="00E977CF" w:rsidRPr="00AE6F84" w:rsidRDefault="00E977CF" w:rsidP="00E977CF">
      <w:r w:rsidRPr="00426FE7">
        <w:rPr>
          <w:lang w:val="fr-FR"/>
        </w:rPr>
        <w:t xml:space="preserve">[27] </w:t>
      </w:r>
      <w:proofErr w:type="spellStart"/>
      <w:r w:rsidRPr="00426FE7">
        <w:rPr>
          <w:lang w:val="fr-FR"/>
        </w:rPr>
        <w:t>Tariot</w:t>
      </w:r>
      <w:proofErr w:type="spellEnd"/>
      <w:r w:rsidRPr="00426FE7">
        <w:rPr>
          <w:lang w:val="fr-FR"/>
        </w:rPr>
        <w:t xml:space="preserve"> PN, Boada M, </w:t>
      </w:r>
      <w:proofErr w:type="spellStart"/>
      <w:r w:rsidRPr="00426FE7">
        <w:rPr>
          <w:lang w:val="fr-FR"/>
        </w:rPr>
        <w:t>Lanctôt</w:t>
      </w:r>
      <w:proofErr w:type="spellEnd"/>
      <w:r w:rsidRPr="00426FE7">
        <w:rPr>
          <w:lang w:val="fr-FR"/>
        </w:rPr>
        <w:t xml:space="preserve"> KL, et al. </w:t>
      </w:r>
      <w:r w:rsidRPr="00AE6F84">
        <w:t xml:space="preserve">Relationships of change in Clinical Dementia Rating (CDR) on patient outcomes and probability of progression: observational analysis. </w:t>
      </w:r>
      <w:proofErr w:type="spellStart"/>
      <w:r w:rsidRPr="00AE6F84">
        <w:rPr>
          <w:i/>
          <w:iCs/>
        </w:rPr>
        <w:t>Alzheimers</w:t>
      </w:r>
      <w:proofErr w:type="spellEnd"/>
      <w:r w:rsidRPr="00AE6F84">
        <w:rPr>
          <w:i/>
          <w:iCs/>
        </w:rPr>
        <w:t xml:space="preserve"> Res Ther</w:t>
      </w:r>
      <w:r w:rsidRPr="00AE6F84">
        <w:t>. 2024;16:36. doi:10.1186/s13195-024-01399-7.</w:t>
      </w:r>
    </w:p>
    <w:p w14:paraId="1DA53B72" w14:textId="77777777" w:rsidR="00E977CF" w:rsidRPr="00AE6F84" w:rsidRDefault="00E977CF" w:rsidP="00E977CF">
      <w:r w:rsidRPr="00AE6F84">
        <w:t xml:space="preserve">[28] Matthews FE, Stephan BCM, Robinson L, Jagger C, Barnes LE, Arthur A, </w:t>
      </w:r>
      <w:proofErr w:type="spellStart"/>
      <w:r w:rsidRPr="00AE6F84">
        <w:t>Brayne</w:t>
      </w:r>
      <w:proofErr w:type="spellEnd"/>
      <w:r w:rsidRPr="00AE6F84">
        <w:t xml:space="preserve"> C. A two decade dementia incidence comparison from the Cognitive Function and Ageing Studies I and II. </w:t>
      </w:r>
      <w:r w:rsidRPr="00AE6F84">
        <w:rPr>
          <w:i/>
          <w:iCs/>
        </w:rPr>
        <w:t>Nat Commun</w:t>
      </w:r>
      <w:r w:rsidRPr="00AE6F84">
        <w:t xml:space="preserve">. 2016;7:11398. doi:10.1038/ncomms11398. </w:t>
      </w:r>
    </w:p>
    <w:p w14:paraId="66E638DD" w14:textId="77777777" w:rsidR="00E977CF" w:rsidRPr="00AE6F84" w:rsidRDefault="00E977CF" w:rsidP="00E977CF">
      <w:r w:rsidRPr="00AE6F84">
        <w:t xml:space="preserve">[29] </w:t>
      </w:r>
      <w:proofErr w:type="spellStart"/>
      <w:r w:rsidRPr="00AE6F84">
        <w:t>Licher</w:t>
      </w:r>
      <w:proofErr w:type="spellEnd"/>
      <w:r w:rsidRPr="00AE6F84">
        <w:t xml:space="preserve"> S, et al. Lifetime risk of common neurological diseases in the elderly population. </w:t>
      </w:r>
      <w:r w:rsidRPr="00AE6F84">
        <w:rPr>
          <w:i/>
          <w:iCs/>
        </w:rPr>
        <w:t xml:space="preserve">J </w:t>
      </w:r>
      <w:proofErr w:type="spellStart"/>
      <w:r w:rsidRPr="00AE6F84">
        <w:rPr>
          <w:i/>
          <w:iCs/>
        </w:rPr>
        <w:t>Neurol</w:t>
      </w:r>
      <w:proofErr w:type="spellEnd"/>
      <w:r w:rsidRPr="00AE6F84">
        <w:rPr>
          <w:i/>
          <w:iCs/>
        </w:rPr>
        <w:t xml:space="preserve"> </w:t>
      </w:r>
      <w:proofErr w:type="spellStart"/>
      <w:r w:rsidRPr="00AE6F84">
        <w:rPr>
          <w:i/>
          <w:iCs/>
        </w:rPr>
        <w:t>Neurosurg</w:t>
      </w:r>
      <w:proofErr w:type="spellEnd"/>
      <w:r w:rsidRPr="00AE6F84">
        <w:rPr>
          <w:i/>
          <w:iCs/>
        </w:rPr>
        <w:t xml:space="preserve"> Psychiatry</w:t>
      </w:r>
      <w:r w:rsidRPr="00AE6F84">
        <w:t>. 2019;90(2):148–156. doi:10.1136/jnnp-2018-318650.</w:t>
      </w:r>
    </w:p>
    <w:p w14:paraId="29206152" w14:textId="77777777" w:rsidR="00E977CF" w:rsidRPr="00AE6F84" w:rsidRDefault="00E977CF" w:rsidP="00E977CF">
      <w:r w:rsidRPr="00AE6F84">
        <w:lastRenderedPageBreak/>
        <w:t xml:space="preserve">[30] Crowell V, Reyes A, Zhou SQ, et al. Disease severity and mortality in Alzheimer’s disease: an analysis using the U.S. National Alzheimer’s Coordinating </w:t>
      </w:r>
      <w:proofErr w:type="spellStart"/>
      <w:r w:rsidRPr="00AE6F84">
        <w:t>Center</w:t>
      </w:r>
      <w:proofErr w:type="spellEnd"/>
      <w:r w:rsidRPr="00AE6F84">
        <w:t xml:space="preserve"> Uniform Data Set. </w:t>
      </w:r>
      <w:r w:rsidRPr="00AE6F84">
        <w:rPr>
          <w:i/>
          <w:iCs/>
        </w:rPr>
        <w:t>BMC Neurol</w:t>
      </w:r>
      <w:r w:rsidRPr="00AE6F84">
        <w:t>. 2023;23:302. doi:10.1186/s12883-023-03353-w.</w:t>
      </w:r>
    </w:p>
    <w:p w14:paraId="5A425FA7" w14:textId="77777777" w:rsidR="00E977CF" w:rsidRPr="00AE6F84" w:rsidRDefault="00E977CF" w:rsidP="00E977CF">
      <w:r w:rsidRPr="00AE6F84">
        <w:t xml:space="preserve">[31] Öksüz N, </w:t>
      </w:r>
      <w:proofErr w:type="spellStart"/>
      <w:r w:rsidRPr="00AE6F84">
        <w:t>Ghouri</w:t>
      </w:r>
      <w:proofErr w:type="spellEnd"/>
      <w:r w:rsidRPr="00AE6F84">
        <w:t xml:space="preserve"> R, Taşdelen B, </w:t>
      </w:r>
      <w:proofErr w:type="spellStart"/>
      <w:r w:rsidRPr="00AE6F84">
        <w:t>Uludüz</w:t>
      </w:r>
      <w:proofErr w:type="spellEnd"/>
      <w:r w:rsidRPr="00AE6F84">
        <w:t xml:space="preserve"> D, Özge A. Mild cognitive impairment progression and Alzheimer’s disease risk: a comprehensive analysis of 3553 cases over 203 months. J Clin Med. 2024;13(2):518. doi:10.3390/jcm13020518. </w:t>
      </w:r>
    </w:p>
    <w:p w14:paraId="16F926FF" w14:textId="50377C2D" w:rsidR="00E977CF" w:rsidRDefault="00E977CF" w:rsidP="00DE3A1D">
      <w:r w:rsidRPr="00AE6F84">
        <w:t xml:space="preserve">[32] </w:t>
      </w:r>
      <w:r w:rsidR="00764B72" w:rsidRPr="00AE6F84">
        <w:t xml:space="preserve">Li R, Li R, Xie J, Chen J, Liu S, Pan A, Liu G. Associations of socioeconomic status and healthy lifestyle with incident early-onset and late-onset dementia: a prospective </w:t>
      </w:r>
      <w:r w:rsidR="00FC36B6">
        <w:t>cohort</w:t>
      </w:r>
      <w:r w:rsidR="00764B72" w:rsidRPr="00AE6F84">
        <w:t xml:space="preserve"> study. </w:t>
      </w:r>
      <w:r w:rsidR="00764B72" w:rsidRPr="00AE6F84">
        <w:rPr>
          <w:i/>
          <w:iCs/>
        </w:rPr>
        <w:t>Lancet Healthy Longev</w:t>
      </w:r>
      <w:r w:rsidR="00764B72" w:rsidRPr="00AE6F84">
        <w:t>. 2023 Dec;4(12):e693–702.</w:t>
      </w:r>
    </w:p>
    <w:p w14:paraId="605BC053" w14:textId="0E4F5BFE" w:rsidR="004F0B05" w:rsidRPr="00AE6F84" w:rsidRDefault="004F0B05" w:rsidP="00DE3A1D">
      <w:r>
        <w:t>[33]</w:t>
      </w:r>
      <w:r w:rsidR="00702826">
        <w:t xml:space="preserve"> </w:t>
      </w:r>
      <w:r w:rsidR="00702826" w:rsidRPr="00702826">
        <w:t xml:space="preserve">Asher S, Stephen R, Mäntylä P, Suominen AL, Solomon A. Periodontal health, cognitive decline, and dementia: a systematic review and meta-analysis of longitudinal studies. </w:t>
      </w:r>
      <w:r w:rsidR="00702826" w:rsidRPr="00702826">
        <w:rPr>
          <w:i/>
          <w:iCs/>
        </w:rPr>
        <w:t xml:space="preserve">J Am </w:t>
      </w:r>
      <w:proofErr w:type="spellStart"/>
      <w:r w:rsidR="00702826" w:rsidRPr="00702826">
        <w:rPr>
          <w:i/>
          <w:iCs/>
        </w:rPr>
        <w:t>Geriatr</w:t>
      </w:r>
      <w:proofErr w:type="spellEnd"/>
      <w:r w:rsidR="00702826" w:rsidRPr="00702826">
        <w:rPr>
          <w:i/>
          <w:iCs/>
        </w:rPr>
        <w:t xml:space="preserve"> Soc</w:t>
      </w:r>
      <w:r w:rsidR="00702826" w:rsidRPr="00702826">
        <w:t xml:space="preserve">. 2022;70(9):2695–2709. </w:t>
      </w:r>
      <w:proofErr w:type="spellStart"/>
      <w:r w:rsidR="00702826" w:rsidRPr="00702826">
        <w:t>doi</w:t>
      </w:r>
      <w:proofErr w:type="spellEnd"/>
      <w:r w:rsidR="00702826" w:rsidRPr="00702826">
        <w:t>:</w:t>
      </w:r>
      <w:r w:rsidR="00391C40" w:rsidRPr="00391C40">
        <w:t xml:space="preserve"> 10.1111/jgs.17978</w:t>
      </w:r>
      <w:r w:rsidR="00702826" w:rsidRPr="00702826">
        <w:t>.</w:t>
      </w:r>
    </w:p>
    <w:p w14:paraId="1662FA44" w14:textId="7D9950F8" w:rsidR="0077717C" w:rsidRPr="00AE6F84" w:rsidRDefault="0077717C" w:rsidP="00076ABD">
      <w:r w:rsidRPr="00AE6F84">
        <w:t>[3</w:t>
      </w:r>
      <w:r w:rsidR="004F0B05">
        <w:t>4</w:t>
      </w:r>
      <w:r w:rsidRPr="00AE6F84">
        <w:t>]</w:t>
      </w:r>
      <w:r w:rsidR="0078387F" w:rsidRPr="00AE6F84">
        <w:t xml:space="preserve"> Alzheimer’s Society. </w:t>
      </w:r>
      <w:r w:rsidR="0078387F" w:rsidRPr="00AE6F84">
        <w:rPr>
          <w:i/>
          <w:iCs/>
        </w:rPr>
        <w:t>The economic impact of dementia – Module 1: Annual costs of dementia.</w:t>
      </w:r>
      <w:r w:rsidR="0078387F" w:rsidRPr="00AE6F84">
        <w:t xml:space="preserve"> London: Alzheimer’s Society; 2024 May [Accessed 2025 Oct 24]. Available from: </w:t>
      </w:r>
      <w:hyperlink r:id="rId14" w:tgtFrame="_new" w:history="1">
        <w:r w:rsidR="0078387F" w:rsidRPr="00AE6F84">
          <w:rPr>
            <w:rStyle w:val="Hyperlink"/>
          </w:rPr>
          <w:t>https://www.alzheimers.org.uk/sites/default/files/2024-05/the-annual-costs-of-dementia.pdf</w:t>
        </w:r>
      </w:hyperlink>
      <w:r w:rsidR="0078387F" w:rsidRPr="00AE6F84">
        <w:t>.</w:t>
      </w:r>
    </w:p>
    <w:p w14:paraId="37297FD4" w14:textId="6D19DAA0" w:rsidR="0077717C" w:rsidRPr="00AE6F84" w:rsidRDefault="0077717C" w:rsidP="00076ABD">
      <w:r w:rsidRPr="00AE6F84">
        <w:t>[3</w:t>
      </w:r>
      <w:r w:rsidR="004F0B05">
        <w:t>5</w:t>
      </w:r>
      <w:r w:rsidRPr="00AE6F84">
        <w:t>]</w:t>
      </w:r>
      <w:r w:rsidR="00EA6BF3" w:rsidRPr="00AE6F84">
        <w:t xml:space="preserve"> HM Treasury</w:t>
      </w:r>
      <w:r w:rsidR="00EA6BF3" w:rsidRPr="00AE6F84">
        <w:rPr>
          <w:i/>
          <w:iCs/>
        </w:rPr>
        <w:t>. GDP deflators at market prices, and money GDP: March 2025 (Spring Statement &amp; Quarterly National Accounts)</w:t>
      </w:r>
      <w:r w:rsidR="00EA6BF3" w:rsidRPr="00AE6F84">
        <w:t xml:space="preserve"> [Internet]. London: HM Treasury; 2025 Mar [cited 2025 Oct 24]. Available from: </w:t>
      </w:r>
      <w:hyperlink r:id="rId15" w:history="1">
        <w:r w:rsidR="00EA6BF3" w:rsidRPr="00AE6F84">
          <w:rPr>
            <w:rStyle w:val="Hyperlink"/>
          </w:rPr>
          <w:t>https://www.gov.uk/government/statistics/gdp-deflators-at-market-prices-and-money-gdp-march-2025-spring-statement-quarterly-national-accounts</w:t>
        </w:r>
      </w:hyperlink>
      <w:r w:rsidR="00EA6BF3" w:rsidRPr="00AE6F84">
        <w:t>.</w:t>
      </w:r>
    </w:p>
    <w:p w14:paraId="19D20FC1" w14:textId="584476E2" w:rsidR="00EA6BF3" w:rsidRPr="00AE6F84" w:rsidRDefault="00EA6BF3" w:rsidP="00076ABD">
      <w:r w:rsidRPr="00AE6F84">
        <w:t>[3</w:t>
      </w:r>
      <w:r w:rsidR="004F0B05">
        <w:t>6</w:t>
      </w:r>
      <w:r w:rsidRPr="00AE6F84">
        <w:t>]</w:t>
      </w:r>
      <w:r w:rsidR="00BD2F10" w:rsidRPr="00AE6F84">
        <w:t xml:space="preserve"> Višnjić A, </w:t>
      </w:r>
      <w:proofErr w:type="spellStart"/>
      <w:r w:rsidR="00BD2F10" w:rsidRPr="00AE6F84">
        <w:t>Veličković</w:t>
      </w:r>
      <w:proofErr w:type="spellEnd"/>
      <w:r w:rsidR="00BD2F10" w:rsidRPr="00AE6F84">
        <w:t xml:space="preserve"> V, </w:t>
      </w:r>
      <w:proofErr w:type="spellStart"/>
      <w:r w:rsidR="00BD2F10" w:rsidRPr="00AE6F84">
        <w:t>Milosavljević</w:t>
      </w:r>
      <w:proofErr w:type="spellEnd"/>
      <w:r w:rsidR="00BD2F10" w:rsidRPr="00AE6F84">
        <w:t xml:space="preserve"> NŠ. QALY: measure of cost–benefit analysis of health interventions. </w:t>
      </w:r>
      <w:r w:rsidR="00BD2F10" w:rsidRPr="00AE6F84">
        <w:rPr>
          <w:i/>
          <w:iCs/>
        </w:rPr>
        <w:t xml:space="preserve">Acta </w:t>
      </w:r>
      <w:proofErr w:type="spellStart"/>
      <w:r w:rsidR="00BD2F10" w:rsidRPr="00AE6F84">
        <w:rPr>
          <w:i/>
          <w:iCs/>
        </w:rPr>
        <w:t>Fac</w:t>
      </w:r>
      <w:proofErr w:type="spellEnd"/>
      <w:r w:rsidR="00BD2F10" w:rsidRPr="00AE6F84">
        <w:rPr>
          <w:i/>
          <w:iCs/>
        </w:rPr>
        <w:t xml:space="preserve"> Med </w:t>
      </w:r>
      <w:proofErr w:type="spellStart"/>
      <w:r w:rsidR="00BD2F10" w:rsidRPr="00AE6F84">
        <w:rPr>
          <w:i/>
          <w:iCs/>
        </w:rPr>
        <w:t>Naiss</w:t>
      </w:r>
      <w:proofErr w:type="spellEnd"/>
      <w:r w:rsidR="00BD2F10" w:rsidRPr="00AE6F84">
        <w:t xml:space="preserve">. 2011;28(4):195–199. </w:t>
      </w:r>
    </w:p>
    <w:p w14:paraId="086A5751" w14:textId="50DE05EF" w:rsidR="00EA6BF3" w:rsidRPr="00AE6F84" w:rsidRDefault="00EA6BF3" w:rsidP="00076ABD">
      <w:r w:rsidRPr="00AE6F84">
        <w:t>[3</w:t>
      </w:r>
      <w:r w:rsidR="004F0B05">
        <w:t>7</w:t>
      </w:r>
      <w:r w:rsidRPr="00AE6F84">
        <w:t>]</w:t>
      </w:r>
      <w:r w:rsidR="00D76943" w:rsidRPr="00AE6F84">
        <w:t xml:space="preserve"> Mukadam N, Anderson R, Walsh S, Wittenberg R, Knapp M, </w:t>
      </w:r>
      <w:proofErr w:type="spellStart"/>
      <w:r w:rsidR="00D76943" w:rsidRPr="00AE6F84">
        <w:t>Brayne</w:t>
      </w:r>
      <w:proofErr w:type="spellEnd"/>
      <w:r w:rsidR="00D76943" w:rsidRPr="00AE6F84">
        <w:t xml:space="preserve"> C, Livingston G. Benefits of population-level interventions for dementia risk factors: an economic modelling study for England. </w:t>
      </w:r>
      <w:r w:rsidR="00D76943" w:rsidRPr="00AE6F84">
        <w:rPr>
          <w:i/>
          <w:iCs/>
        </w:rPr>
        <w:t>Lancet Healthy Longev</w:t>
      </w:r>
      <w:r w:rsidR="00D76943" w:rsidRPr="00AE6F84">
        <w:t>. 2024;5(9):e567–e577. doi:10.1016/S2666-7568(24)00156-3.</w:t>
      </w:r>
    </w:p>
    <w:p w14:paraId="6C71CEA3" w14:textId="5746E39C" w:rsidR="00EA6BF3" w:rsidRPr="00AE6F84" w:rsidRDefault="00EA6BF3" w:rsidP="00076ABD">
      <w:r w:rsidRPr="00AE6F84">
        <w:t>[3</w:t>
      </w:r>
      <w:r w:rsidR="004F0B05">
        <w:t>8</w:t>
      </w:r>
      <w:r w:rsidRPr="00AE6F84">
        <w:t>]</w:t>
      </w:r>
      <w:r w:rsidR="00B81EEE" w:rsidRPr="00AE6F84">
        <w:t xml:space="preserve"> Kind P, Hardman G, </w:t>
      </w:r>
      <w:proofErr w:type="spellStart"/>
      <w:r w:rsidR="00B81EEE" w:rsidRPr="00AE6F84">
        <w:t>Macran</w:t>
      </w:r>
      <w:proofErr w:type="spellEnd"/>
      <w:r w:rsidR="00B81EEE" w:rsidRPr="00AE6F84">
        <w:t xml:space="preserve"> S. </w:t>
      </w:r>
      <w:r w:rsidR="00B81EEE" w:rsidRPr="00AE6F84">
        <w:rPr>
          <w:i/>
          <w:iCs/>
        </w:rPr>
        <w:t>UK population norms for EQ-5D.</w:t>
      </w:r>
      <w:r w:rsidR="00B81EEE" w:rsidRPr="00AE6F84">
        <w:t xml:space="preserve"> York: Centre for Health Economics, University of York; 1999 Nov. Report No.: 172.</w:t>
      </w:r>
    </w:p>
    <w:p w14:paraId="0D6C1443" w14:textId="14B11766" w:rsidR="00EA6BF3" w:rsidRPr="00AE6F84" w:rsidRDefault="00EA6BF3" w:rsidP="00076ABD">
      <w:r w:rsidRPr="00AE6F84">
        <w:t>[3</w:t>
      </w:r>
      <w:r w:rsidR="004F0B05">
        <w:t>9</w:t>
      </w:r>
      <w:r w:rsidRPr="00AE6F84">
        <w:t>]</w:t>
      </w:r>
      <w:r w:rsidR="00994E00" w:rsidRPr="00AE6F84">
        <w:t xml:space="preserve"> Reed C, Barrett A, </w:t>
      </w:r>
      <w:proofErr w:type="spellStart"/>
      <w:r w:rsidR="00994E00" w:rsidRPr="00AE6F84">
        <w:t>Lebrec</w:t>
      </w:r>
      <w:proofErr w:type="spellEnd"/>
      <w:r w:rsidR="00994E00" w:rsidRPr="00AE6F84">
        <w:t xml:space="preserve"> J, et al. How useful is the EQ-5D in assessing the impact of caring for people with Alzheimer’s disease? </w:t>
      </w:r>
      <w:r w:rsidR="00994E00" w:rsidRPr="00AE6F84">
        <w:rPr>
          <w:i/>
          <w:iCs/>
        </w:rPr>
        <w:t>Health Qual Life Outcomes</w:t>
      </w:r>
      <w:r w:rsidR="00994E00" w:rsidRPr="00AE6F84">
        <w:t>. 2017;15:16. doi:10.1186/s12955-017-0591-2.</w:t>
      </w:r>
    </w:p>
    <w:p w14:paraId="36D2D0BA" w14:textId="0A30C841" w:rsidR="00EA6BF3" w:rsidRPr="00AE6F84" w:rsidRDefault="00EA6BF3" w:rsidP="00076ABD">
      <w:r w:rsidRPr="00AE6F84">
        <w:t>[</w:t>
      </w:r>
      <w:r w:rsidR="004F0B05">
        <w:t>40</w:t>
      </w:r>
      <w:r w:rsidRPr="00AE6F84">
        <w:t>]</w:t>
      </w:r>
      <w:r w:rsidR="005B6F0A" w:rsidRPr="00AE6F84">
        <w:t xml:space="preserve"> National Institute for Health and Care Excellence (NICE). </w:t>
      </w:r>
      <w:r w:rsidR="005B6F0A" w:rsidRPr="00AE6F84">
        <w:rPr>
          <w:i/>
          <w:iCs/>
        </w:rPr>
        <w:t>Guide to the methods of technology appraisal. Process and methods [PMG9]</w:t>
      </w:r>
      <w:r w:rsidR="005B6F0A" w:rsidRPr="00AE6F84">
        <w:t>. London: National Institute for Health and Care Excellence; 2013.</w:t>
      </w:r>
    </w:p>
    <w:p w14:paraId="048586C4" w14:textId="0270FEDA" w:rsidR="00EA6BF3" w:rsidRDefault="00EA6BF3" w:rsidP="00076ABD">
      <w:r w:rsidRPr="00AE6F84">
        <w:lastRenderedPageBreak/>
        <w:t>[4</w:t>
      </w:r>
      <w:r w:rsidR="004F0B05">
        <w:t>1</w:t>
      </w:r>
      <w:r w:rsidRPr="00AE6F84">
        <w:t>]</w:t>
      </w:r>
      <w:r w:rsidR="009E2EF1" w:rsidRPr="00AE6F84">
        <w:t xml:space="preserve"> O'Hagan A, Stevenson M, Madan J. Monte Carlo probabilistic sensitivity analysis for patient level simulation models: efficient estimation of mean and variance using ANOVA. </w:t>
      </w:r>
      <w:r w:rsidR="009E2EF1" w:rsidRPr="00AE6F84">
        <w:rPr>
          <w:i/>
          <w:iCs/>
        </w:rPr>
        <w:t>Health Economics</w:t>
      </w:r>
      <w:r w:rsidR="009E2EF1" w:rsidRPr="00AE6F84">
        <w:t>. 2007;16(10):1009-1023. doi:10.1002/hec.1199.</w:t>
      </w:r>
    </w:p>
    <w:p w14:paraId="744A9753" w14:textId="5049FC5E" w:rsidR="001057A5" w:rsidRPr="00AE6F84" w:rsidRDefault="001057A5" w:rsidP="00076ABD">
      <w:r w:rsidRPr="009A103E">
        <w:t>[42]</w:t>
      </w:r>
      <w:r w:rsidR="00177E6D" w:rsidRPr="009A103E">
        <w:t xml:space="preserve"> Linden GJ, Lyons A, Scannapieco FA. </w:t>
      </w:r>
      <w:r w:rsidR="00177E6D" w:rsidRPr="00177E6D">
        <w:t xml:space="preserve">Periodontal systemic associations: review of the evidence. </w:t>
      </w:r>
      <w:r w:rsidR="00177E6D" w:rsidRPr="00177E6D">
        <w:rPr>
          <w:i/>
          <w:iCs/>
        </w:rPr>
        <w:t>J Clin Periodontol</w:t>
      </w:r>
      <w:r w:rsidR="00177E6D" w:rsidRPr="00177E6D">
        <w:t xml:space="preserve">. 2013;40 </w:t>
      </w:r>
      <w:proofErr w:type="spellStart"/>
      <w:r w:rsidR="00177E6D" w:rsidRPr="00177E6D">
        <w:t>Suppl</w:t>
      </w:r>
      <w:proofErr w:type="spellEnd"/>
      <w:r w:rsidR="00177E6D" w:rsidRPr="00177E6D">
        <w:t xml:space="preserve"> 14:S8–S19. doi:10.1111/jcpe.12064.</w:t>
      </w:r>
    </w:p>
    <w:p w14:paraId="4CF4B614" w14:textId="1F8FF67B" w:rsidR="00283115" w:rsidRPr="00AE6F84" w:rsidRDefault="00283115" w:rsidP="00076ABD">
      <w:r w:rsidRPr="00AE6F84">
        <w:t>[4</w:t>
      </w:r>
      <w:r w:rsidR="00177E6D">
        <w:t>3</w:t>
      </w:r>
      <w:r w:rsidRPr="00AE6F84">
        <w:t xml:space="preserve">] </w:t>
      </w:r>
      <w:r w:rsidR="00BF7EB5" w:rsidRPr="00AE6F84">
        <w:t xml:space="preserve">Office for Health Improvement and Disparities. </w:t>
      </w:r>
      <w:r w:rsidR="00BF7EB5" w:rsidRPr="00AE6F84">
        <w:rPr>
          <w:i/>
          <w:iCs/>
        </w:rPr>
        <w:t>Adult oral health survey 2023: a report on the findings of the 2023 adult oral health survey</w:t>
      </w:r>
      <w:r w:rsidR="00BF7EB5" w:rsidRPr="00AE6F84">
        <w:t xml:space="preserve"> [Internet]. London: Office for Health Improvement and Disparities; 2025 Dec 9 [updated 2025 Dec 17; cited 2026 Feb 3]. Available from: </w:t>
      </w:r>
      <w:hyperlink r:id="rId16" w:history="1">
        <w:r w:rsidR="00BF7EB5" w:rsidRPr="00AE6F84">
          <w:rPr>
            <w:rStyle w:val="Hyperlink"/>
          </w:rPr>
          <w:t>https://www.gov.uk/government/statistics/adult-oral-health-survey-2023</w:t>
        </w:r>
      </w:hyperlink>
      <w:r w:rsidR="00BF7EB5" w:rsidRPr="00AE6F84">
        <w:t>.</w:t>
      </w:r>
    </w:p>
    <w:p w14:paraId="30752F1E" w14:textId="34167CE3" w:rsidR="00BF7EB5" w:rsidRDefault="00F43339" w:rsidP="00076ABD">
      <w:r w:rsidRPr="00AE6F84">
        <w:t>[4</w:t>
      </w:r>
      <w:r w:rsidR="00177E6D">
        <w:t>4</w:t>
      </w:r>
      <w:r w:rsidRPr="00AE6F84">
        <w:t xml:space="preserve">] </w:t>
      </w:r>
      <w:r w:rsidR="000A1007" w:rsidRPr="00AE6F84">
        <w:t xml:space="preserve">Watt RG, Stennett M, Redican C, Vernazza C. Urgent need for transformative change in NHS dentistry. </w:t>
      </w:r>
      <w:r w:rsidR="000A1007" w:rsidRPr="00AE6F84">
        <w:rPr>
          <w:i/>
          <w:iCs/>
        </w:rPr>
        <w:t>Lancet</w:t>
      </w:r>
      <w:r w:rsidR="000A1007" w:rsidRPr="00AE6F84">
        <w:t>. 2024 Mar 23;403(10432):1115–1117.</w:t>
      </w:r>
    </w:p>
    <w:p w14:paraId="01F20A77" w14:textId="5CA98CB2" w:rsidR="009657A4" w:rsidRDefault="009657A4" w:rsidP="00076ABD">
      <w:r>
        <w:t>[4</w:t>
      </w:r>
      <w:r w:rsidR="00B40F48">
        <w:t>5</w:t>
      </w:r>
      <w:r>
        <w:t>]</w:t>
      </w:r>
      <w:r w:rsidR="00EA0A74">
        <w:t xml:space="preserve"> </w:t>
      </w:r>
      <w:r w:rsidR="00EA0A74" w:rsidRPr="00EA0A74">
        <w:t xml:space="preserve">Qi X, Luo H, Wu B. Reflections on The Lancet's Commission on dementia prevention, intervention, and care. </w:t>
      </w:r>
      <w:r w:rsidR="00EA0A74" w:rsidRPr="00EA0A74">
        <w:rPr>
          <w:i/>
          <w:iCs/>
        </w:rPr>
        <w:t>Lancet</w:t>
      </w:r>
      <w:r w:rsidR="00EA0A74" w:rsidRPr="00EA0A74">
        <w:t>. 2025;405(10479):625. doi:10.1016/S0140-6736(25)00267-7.</w:t>
      </w:r>
    </w:p>
    <w:p w14:paraId="2EF4191A" w14:textId="3861DA75" w:rsidR="004510E7" w:rsidRDefault="004510E7" w:rsidP="00076ABD">
      <w:r>
        <w:t>[4</w:t>
      </w:r>
      <w:r w:rsidR="00B40F48">
        <w:t>6</w:t>
      </w:r>
      <w:r>
        <w:t xml:space="preserve">] </w:t>
      </w:r>
      <w:r w:rsidR="00BC014A" w:rsidRPr="00BC014A">
        <w:t xml:space="preserve">Mukadam N, Anderson R, Knapp M, Wittenberg R, Karagiannidou M, </w:t>
      </w:r>
      <w:proofErr w:type="spellStart"/>
      <w:r w:rsidR="00BC014A" w:rsidRPr="00BC014A">
        <w:t>Costafreda</w:t>
      </w:r>
      <w:proofErr w:type="spellEnd"/>
      <w:r w:rsidR="00BC014A" w:rsidRPr="00BC014A">
        <w:t xml:space="preserve"> SG, Tutton M, Alessi C, Livingston G. Effective interventions for potentially modifiable risk factors for late-onset dementia: a costs and cost-effectiveness modelling study. </w:t>
      </w:r>
      <w:r w:rsidR="00BC014A" w:rsidRPr="00BC014A">
        <w:rPr>
          <w:i/>
          <w:iCs/>
        </w:rPr>
        <w:t>Lancet Healthy Longev</w:t>
      </w:r>
      <w:r w:rsidR="00BC014A" w:rsidRPr="00BC014A">
        <w:t>. 2020;1(1):e13–e20. doi:10.1016/S2666-7568(20)30048-8.</w:t>
      </w:r>
    </w:p>
    <w:p w14:paraId="130E36AA" w14:textId="201F8986" w:rsidR="005A3DEC" w:rsidRDefault="005A3DEC" w:rsidP="00076ABD">
      <w:r>
        <w:t>[4</w:t>
      </w:r>
      <w:r w:rsidR="00B40F48">
        <w:t>7</w:t>
      </w:r>
      <w:r>
        <w:t>]</w:t>
      </w:r>
      <w:r w:rsidR="00CA2555">
        <w:t xml:space="preserve"> </w:t>
      </w:r>
      <w:r w:rsidR="00CA2555" w:rsidRPr="00CA2555">
        <w:t xml:space="preserve">Mulhern B, Rowen D, Brazier J, Smith S, Romeo R, Tait R, </w:t>
      </w:r>
      <w:proofErr w:type="spellStart"/>
      <w:r w:rsidR="00CA2555" w:rsidRPr="00CA2555">
        <w:t>Watchurst</w:t>
      </w:r>
      <w:proofErr w:type="spellEnd"/>
      <w:r w:rsidR="00CA2555" w:rsidRPr="00CA2555">
        <w:t xml:space="preserve"> C, Chua KC, Loftus V, Young T, Lamping D. Development of DEMQOL-U and DEMQOL-PROXY-U: generation of preference-based indices from DEMQOL and DEMQOL-PROXY for use in economic evaluation. </w:t>
      </w:r>
      <w:r w:rsidR="00CA2555" w:rsidRPr="00CA2555">
        <w:rPr>
          <w:i/>
          <w:iCs/>
        </w:rPr>
        <w:t xml:space="preserve">Health </w:t>
      </w:r>
      <w:proofErr w:type="spellStart"/>
      <w:r w:rsidR="00CA2555" w:rsidRPr="00CA2555">
        <w:rPr>
          <w:i/>
          <w:iCs/>
        </w:rPr>
        <w:t>Technol</w:t>
      </w:r>
      <w:proofErr w:type="spellEnd"/>
      <w:r w:rsidR="00CA2555" w:rsidRPr="00CA2555">
        <w:rPr>
          <w:i/>
          <w:iCs/>
        </w:rPr>
        <w:t xml:space="preserve"> Assess</w:t>
      </w:r>
      <w:r w:rsidR="00CA2555" w:rsidRPr="00CA2555">
        <w:t>. 2013;17(5):v–xv, 1–140. doi:10.3310/hta17050.</w:t>
      </w:r>
    </w:p>
    <w:p w14:paraId="4538BAEF" w14:textId="0CC97B3D" w:rsidR="00183248" w:rsidRDefault="00183248" w:rsidP="00076ABD">
      <w:r>
        <w:t>[4</w:t>
      </w:r>
      <w:r w:rsidR="00B40F48">
        <w:t>8</w:t>
      </w:r>
      <w:r>
        <w:t>]</w:t>
      </w:r>
      <w:r w:rsidR="002C7E4D">
        <w:t xml:space="preserve"> </w:t>
      </w:r>
      <w:r w:rsidR="002C7E4D" w:rsidRPr="002C7E4D">
        <w:t xml:space="preserve">Consiglio A, Lopez A, Bosco A. A review of dementia caregiver interventions: valuing psychological well-being and economic impact through the state-preference method. </w:t>
      </w:r>
      <w:r w:rsidR="002C7E4D" w:rsidRPr="002C7E4D">
        <w:rPr>
          <w:i/>
          <w:iCs/>
        </w:rPr>
        <w:t>Int J Environ Res Public Health</w:t>
      </w:r>
      <w:r w:rsidR="002C7E4D" w:rsidRPr="002C7E4D">
        <w:t>. 2026;23(1):104. doi:10.3390/ijerph23010104.</w:t>
      </w:r>
    </w:p>
    <w:p w14:paraId="389ED004" w14:textId="4203DD56" w:rsidR="00CA06D4" w:rsidRDefault="00CA06D4" w:rsidP="00076ABD">
      <w:r>
        <w:t>[</w:t>
      </w:r>
      <w:r w:rsidR="00B40F48">
        <w:t>49</w:t>
      </w:r>
      <w:r>
        <w:t>]</w:t>
      </w:r>
      <w:r w:rsidR="00A0262F">
        <w:t xml:space="preserve"> </w:t>
      </w:r>
      <w:r w:rsidR="00A0262F" w:rsidRPr="00A0262F">
        <w:t xml:space="preserve">Wimo A, Handels R, Antikainen R, </w:t>
      </w:r>
      <w:proofErr w:type="spellStart"/>
      <w:r w:rsidR="00A0262F" w:rsidRPr="00A0262F">
        <w:t>Eriksdotter</w:t>
      </w:r>
      <w:proofErr w:type="spellEnd"/>
      <w:r w:rsidR="00A0262F" w:rsidRPr="00A0262F">
        <w:t xml:space="preserve"> M, Jönsson L, Knapp M, Kulmala J, Laatikainen T, </w:t>
      </w:r>
      <w:proofErr w:type="spellStart"/>
      <w:r w:rsidR="00A0262F" w:rsidRPr="00A0262F">
        <w:t>Lehtisalo</w:t>
      </w:r>
      <w:proofErr w:type="spellEnd"/>
      <w:r w:rsidR="00A0262F" w:rsidRPr="00A0262F">
        <w:t xml:space="preserve"> J, Peltonen M, </w:t>
      </w:r>
      <w:proofErr w:type="spellStart"/>
      <w:r w:rsidR="00A0262F" w:rsidRPr="00A0262F">
        <w:t>Sköldunger</w:t>
      </w:r>
      <w:proofErr w:type="spellEnd"/>
      <w:r w:rsidR="00A0262F" w:rsidRPr="00A0262F">
        <w:t xml:space="preserve"> A, Soininen H, Solomon A, Strandberg T, </w:t>
      </w:r>
      <w:proofErr w:type="spellStart"/>
      <w:r w:rsidR="00A0262F" w:rsidRPr="00A0262F">
        <w:t>Tuomilehto</w:t>
      </w:r>
      <w:proofErr w:type="spellEnd"/>
      <w:r w:rsidR="00A0262F" w:rsidRPr="00A0262F">
        <w:t xml:space="preserve"> J, Ngandu T, </w:t>
      </w:r>
      <w:proofErr w:type="spellStart"/>
      <w:r w:rsidR="00A0262F" w:rsidRPr="00A0262F">
        <w:t>Kivipelto</w:t>
      </w:r>
      <w:proofErr w:type="spellEnd"/>
      <w:r w:rsidR="00A0262F" w:rsidRPr="00A0262F">
        <w:t xml:space="preserve"> M. Dementia prevention: the potential long-term cost-effectiveness of the FINGER prevention program. </w:t>
      </w:r>
      <w:proofErr w:type="spellStart"/>
      <w:r w:rsidR="00A0262F" w:rsidRPr="00A0262F">
        <w:rPr>
          <w:i/>
          <w:iCs/>
        </w:rPr>
        <w:t>Alzheimers</w:t>
      </w:r>
      <w:proofErr w:type="spellEnd"/>
      <w:r w:rsidR="00A0262F" w:rsidRPr="00A0262F">
        <w:rPr>
          <w:i/>
          <w:iCs/>
        </w:rPr>
        <w:t xml:space="preserve"> Dement</w:t>
      </w:r>
      <w:r w:rsidR="00A0262F" w:rsidRPr="00A0262F">
        <w:t>. 2023;19(3):999–1008. doi:10.1002/alz.12698.</w:t>
      </w:r>
    </w:p>
    <w:p w14:paraId="2072C98C" w14:textId="593B9332" w:rsidR="008E45CC" w:rsidRDefault="008E45CC" w:rsidP="00076ABD">
      <w:r>
        <w:t>[</w:t>
      </w:r>
      <w:r w:rsidR="004F0B05">
        <w:t>5</w:t>
      </w:r>
      <w:r w:rsidR="00B40F48">
        <w:t>0</w:t>
      </w:r>
      <w:r>
        <w:t xml:space="preserve">] </w:t>
      </w:r>
      <w:r w:rsidR="000B393C" w:rsidRPr="000B393C">
        <w:t xml:space="preserve">Zheng B, Su B, Price G, </w:t>
      </w:r>
      <w:proofErr w:type="spellStart"/>
      <w:r w:rsidR="000B393C" w:rsidRPr="000B393C">
        <w:t>Tzoulaki</w:t>
      </w:r>
      <w:proofErr w:type="spellEnd"/>
      <w:r w:rsidR="000B393C" w:rsidRPr="000B393C">
        <w:t xml:space="preserve"> I, Ahmadi-Abhari S, Middleton L. </w:t>
      </w:r>
      <w:proofErr w:type="spellStart"/>
      <w:r w:rsidR="000B393C" w:rsidRPr="000B393C">
        <w:t>Glycemic</w:t>
      </w:r>
      <w:proofErr w:type="spellEnd"/>
      <w:r w:rsidR="000B393C" w:rsidRPr="000B393C">
        <w:t xml:space="preserve"> control, diabetic complications, and risk of dementia in patients with diabetes: results from a large U.K. cohort study. </w:t>
      </w:r>
      <w:r w:rsidR="000B393C" w:rsidRPr="000B393C">
        <w:rPr>
          <w:i/>
          <w:iCs/>
        </w:rPr>
        <w:t>Diabetes Care</w:t>
      </w:r>
      <w:r w:rsidR="000B393C" w:rsidRPr="000B393C">
        <w:t>. 2021;44(7):1556–1563. doi:10.2337/dc20-2850.</w:t>
      </w:r>
    </w:p>
    <w:p w14:paraId="4D5260CE" w14:textId="2E839E66" w:rsidR="000B393C" w:rsidRDefault="000B393C" w:rsidP="00076ABD">
      <w:r>
        <w:lastRenderedPageBreak/>
        <w:t>[</w:t>
      </w:r>
      <w:r w:rsidR="00CA06D4">
        <w:t>5</w:t>
      </w:r>
      <w:r w:rsidR="00B40F48">
        <w:t>1</w:t>
      </w:r>
      <w:r>
        <w:t xml:space="preserve">] </w:t>
      </w:r>
      <w:r w:rsidRPr="000B393C">
        <w:t xml:space="preserve">Larvin H, Kang J, Aggarwal VR, Pavitt S, Wu J. The additive effect of periodontitis with hypertension on risk of systemic disease and mortality. </w:t>
      </w:r>
      <w:r w:rsidRPr="000B393C">
        <w:rPr>
          <w:i/>
          <w:iCs/>
        </w:rPr>
        <w:t xml:space="preserve">J </w:t>
      </w:r>
      <w:proofErr w:type="spellStart"/>
      <w:r w:rsidRPr="000B393C">
        <w:rPr>
          <w:i/>
          <w:iCs/>
        </w:rPr>
        <w:t>Periodontol</w:t>
      </w:r>
      <w:proofErr w:type="spellEnd"/>
      <w:r w:rsidRPr="000B393C">
        <w:t>. 2022;93(7):1024–1035. doi:10.1002/JPER.21-0621.</w:t>
      </w:r>
    </w:p>
    <w:p w14:paraId="3D446725" w14:textId="77777777" w:rsidR="00BC014A" w:rsidRDefault="00BC014A" w:rsidP="00076ABD"/>
    <w:sectPr w:rsidR="00BC01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D80"/>
    <w:rsid w:val="00000FD7"/>
    <w:rsid w:val="000029F9"/>
    <w:rsid w:val="00006044"/>
    <w:rsid w:val="00010C4B"/>
    <w:rsid w:val="00012ACF"/>
    <w:rsid w:val="00013D3D"/>
    <w:rsid w:val="00014A66"/>
    <w:rsid w:val="00020652"/>
    <w:rsid w:val="00020A74"/>
    <w:rsid w:val="00026C4F"/>
    <w:rsid w:val="0003070A"/>
    <w:rsid w:val="00031D5C"/>
    <w:rsid w:val="000338F2"/>
    <w:rsid w:val="00041307"/>
    <w:rsid w:val="00042235"/>
    <w:rsid w:val="00043F7C"/>
    <w:rsid w:val="000441C6"/>
    <w:rsid w:val="00044459"/>
    <w:rsid w:val="00050D5A"/>
    <w:rsid w:val="0005121D"/>
    <w:rsid w:val="0006077C"/>
    <w:rsid w:val="00062339"/>
    <w:rsid w:val="00063D2E"/>
    <w:rsid w:val="000670B5"/>
    <w:rsid w:val="00071145"/>
    <w:rsid w:val="000746A2"/>
    <w:rsid w:val="00076ABD"/>
    <w:rsid w:val="000815D1"/>
    <w:rsid w:val="0008434F"/>
    <w:rsid w:val="000853DA"/>
    <w:rsid w:val="0009310C"/>
    <w:rsid w:val="000959FB"/>
    <w:rsid w:val="000979B3"/>
    <w:rsid w:val="000A1007"/>
    <w:rsid w:val="000B29CC"/>
    <w:rsid w:val="000B31D9"/>
    <w:rsid w:val="000B3561"/>
    <w:rsid w:val="000B384C"/>
    <w:rsid w:val="000B393C"/>
    <w:rsid w:val="000B5AB0"/>
    <w:rsid w:val="000C066D"/>
    <w:rsid w:val="000C0AAC"/>
    <w:rsid w:val="000C149B"/>
    <w:rsid w:val="000C1D73"/>
    <w:rsid w:val="000C69E0"/>
    <w:rsid w:val="000D1789"/>
    <w:rsid w:val="000D6761"/>
    <w:rsid w:val="000D74D5"/>
    <w:rsid w:val="000D7591"/>
    <w:rsid w:val="000E10BC"/>
    <w:rsid w:val="000E110B"/>
    <w:rsid w:val="000E4A05"/>
    <w:rsid w:val="000E51E7"/>
    <w:rsid w:val="000F27E8"/>
    <w:rsid w:val="001005BA"/>
    <w:rsid w:val="0010460B"/>
    <w:rsid w:val="001057A5"/>
    <w:rsid w:val="00105BE9"/>
    <w:rsid w:val="001108DD"/>
    <w:rsid w:val="00111E3C"/>
    <w:rsid w:val="00111F62"/>
    <w:rsid w:val="00117422"/>
    <w:rsid w:val="0011794B"/>
    <w:rsid w:val="00117A7F"/>
    <w:rsid w:val="00121A69"/>
    <w:rsid w:val="00122912"/>
    <w:rsid w:val="0012417C"/>
    <w:rsid w:val="00126BE6"/>
    <w:rsid w:val="00131F78"/>
    <w:rsid w:val="0013380C"/>
    <w:rsid w:val="0014014F"/>
    <w:rsid w:val="0014076F"/>
    <w:rsid w:val="00141C40"/>
    <w:rsid w:val="00146829"/>
    <w:rsid w:val="00147707"/>
    <w:rsid w:val="00152779"/>
    <w:rsid w:val="001627C8"/>
    <w:rsid w:val="00163868"/>
    <w:rsid w:val="00166459"/>
    <w:rsid w:val="001673F8"/>
    <w:rsid w:val="0017114F"/>
    <w:rsid w:val="00171D1E"/>
    <w:rsid w:val="00177E6D"/>
    <w:rsid w:val="001810AA"/>
    <w:rsid w:val="001815AD"/>
    <w:rsid w:val="00183248"/>
    <w:rsid w:val="00183346"/>
    <w:rsid w:val="001873B7"/>
    <w:rsid w:val="00187622"/>
    <w:rsid w:val="00191021"/>
    <w:rsid w:val="00191C62"/>
    <w:rsid w:val="00192319"/>
    <w:rsid w:val="00192E5A"/>
    <w:rsid w:val="00195C21"/>
    <w:rsid w:val="00195F44"/>
    <w:rsid w:val="00195FC1"/>
    <w:rsid w:val="001A2FCF"/>
    <w:rsid w:val="001A3505"/>
    <w:rsid w:val="001B09CA"/>
    <w:rsid w:val="001B25A8"/>
    <w:rsid w:val="001B3DB1"/>
    <w:rsid w:val="001B4B0F"/>
    <w:rsid w:val="001B741E"/>
    <w:rsid w:val="001B7FD6"/>
    <w:rsid w:val="001C37A8"/>
    <w:rsid w:val="001C3A3F"/>
    <w:rsid w:val="001C3FE4"/>
    <w:rsid w:val="001C55FE"/>
    <w:rsid w:val="001C7DA1"/>
    <w:rsid w:val="001D2A2D"/>
    <w:rsid w:val="001D2F1E"/>
    <w:rsid w:val="001D50A4"/>
    <w:rsid w:val="001D73EE"/>
    <w:rsid w:val="001E2DEA"/>
    <w:rsid w:val="001F3719"/>
    <w:rsid w:val="002033D2"/>
    <w:rsid w:val="002052B1"/>
    <w:rsid w:val="00205F75"/>
    <w:rsid w:val="00207A6B"/>
    <w:rsid w:val="00210AA5"/>
    <w:rsid w:val="00211214"/>
    <w:rsid w:val="00212726"/>
    <w:rsid w:val="002204FF"/>
    <w:rsid w:val="00220BEB"/>
    <w:rsid w:val="002309F1"/>
    <w:rsid w:val="002322FB"/>
    <w:rsid w:val="00235268"/>
    <w:rsid w:val="00250D01"/>
    <w:rsid w:val="00253668"/>
    <w:rsid w:val="00253D44"/>
    <w:rsid w:val="0025536F"/>
    <w:rsid w:val="00256A68"/>
    <w:rsid w:val="002609EB"/>
    <w:rsid w:val="00262F9A"/>
    <w:rsid w:val="00263BC3"/>
    <w:rsid w:val="00271E93"/>
    <w:rsid w:val="0027539F"/>
    <w:rsid w:val="00281978"/>
    <w:rsid w:val="00281A00"/>
    <w:rsid w:val="00283115"/>
    <w:rsid w:val="002870D5"/>
    <w:rsid w:val="00291A1E"/>
    <w:rsid w:val="0029548D"/>
    <w:rsid w:val="002A21E3"/>
    <w:rsid w:val="002A7FB2"/>
    <w:rsid w:val="002B05D8"/>
    <w:rsid w:val="002B0FE3"/>
    <w:rsid w:val="002B38D9"/>
    <w:rsid w:val="002C0414"/>
    <w:rsid w:val="002C0AC1"/>
    <w:rsid w:val="002C506A"/>
    <w:rsid w:val="002C537D"/>
    <w:rsid w:val="002C5C0E"/>
    <w:rsid w:val="002C60B2"/>
    <w:rsid w:val="002C7E4D"/>
    <w:rsid w:val="002D009C"/>
    <w:rsid w:val="002D12F0"/>
    <w:rsid w:val="002D22C6"/>
    <w:rsid w:val="002D3293"/>
    <w:rsid w:val="002D6203"/>
    <w:rsid w:val="002D68B4"/>
    <w:rsid w:val="002D7062"/>
    <w:rsid w:val="002E2A98"/>
    <w:rsid w:val="002E36DF"/>
    <w:rsid w:val="002E5301"/>
    <w:rsid w:val="002E5356"/>
    <w:rsid w:val="002E60C5"/>
    <w:rsid w:val="002E64F1"/>
    <w:rsid w:val="002F6B0F"/>
    <w:rsid w:val="00313D94"/>
    <w:rsid w:val="003209F8"/>
    <w:rsid w:val="00323B9E"/>
    <w:rsid w:val="00331E92"/>
    <w:rsid w:val="00340F22"/>
    <w:rsid w:val="003412AD"/>
    <w:rsid w:val="00341ADD"/>
    <w:rsid w:val="00342311"/>
    <w:rsid w:val="00342560"/>
    <w:rsid w:val="00347E33"/>
    <w:rsid w:val="00353BEB"/>
    <w:rsid w:val="00360E28"/>
    <w:rsid w:val="00374C6C"/>
    <w:rsid w:val="00375416"/>
    <w:rsid w:val="00376F40"/>
    <w:rsid w:val="003770CB"/>
    <w:rsid w:val="00382A05"/>
    <w:rsid w:val="00383376"/>
    <w:rsid w:val="00383473"/>
    <w:rsid w:val="00386501"/>
    <w:rsid w:val="0038653F"/>
    <w:rsid w:val="00386F35"/>
    <w:rsid w:val="00387538"/>
    <w:rsid w:val="00391C40"/>
    <w:rsid w:val="00391DD4"/>
    <w:rsid w:val="0039541D"/>
    <w:rsid w:val="003961B7"/>
    <w:rsid w:val="00396BBD"/>
    <w:rsid w:val="00396BCA"/>
    <w:rsid w:val="003A1891"/>
    <w:rsid w:val="003A2569"/>
    <w:rsid w:val="003A6AF5"/>
    <w:rsid w:val="003B153D"/>
    <w:rsid w:val="003B2D63"/>
    <w:rsid w:val="003C21D1"/>
    <w:rsid w:val="003C6A3A"/>
    <w:rsid w:val="003D3998"/>
    <w:rsid w:val="003D4B6F"/>
    <w:rsid w:val="003E03D8"/>
    <w:rsid w:val="003E08A4"/>
    <w:rsid w:val="003E2134"/>
    <w:rsid w:val="003E2AB0"/>
    <w:rsid w:val="003F043C"/>
    <w:rsid w:val="003F573D"/>
    <w:rsid w:val="003F7D07"/>
    <w:rsid w:val="00400C82"/>
    <w:rsid w:val="00404830"/>
    <w:rsid w:val="00406925"/>
    <w:rsid w:val="004069BA"/>
    <w:rsid w:val="004104BE"/>
    <w:rsid w:val="0041053C"/>
    <w:rsid w:val="00412599"/>
    <w:rsid w:val="0041263F"/>
    <w:rsid w:val="004138ED"/>
    <w:rsid w:val="0042184D"/>
    <w:rsid w:val="00422758"/>
    <w:rsid w:val="004232B5"/>
    <w:rsid w:val="00426FE7"/>
    <w:rsid w:val="00430F7B"/>
    <w:rsid w:val="00431BDB"/>
    <w:rsid w:val="00433DE4"/>
    <w:rsid w:val="00437FB4"/>
    <w:rsid w:val="00447767"/>
    <w:rsid w:val="004510E7"/>
    <w:rsid w:val="0045156B"/>
    <w:rsid w:val="00451E04"/>
    <w:rsid w:val="00452BB2"/>
    <w:rsid w:val="00454A42"/>
    <w:rsid w:val="0045700D"/>
    <w:rsid w:val="00457D3A"/>
    <w:rsid w:val="00460CEC"/>
    <w:rsid w:val="004653C9"/>
    <w:rsid w:val="004665AC"/>
    <w:rsid w:val="004707EE"/>
    <w:rsid w:val="004713BA"/>
    <w:rsid w:val="00474A71"/>
    <w:rsid w:val="00476347"/>
    <w:rsid w:val="00484AE9"/>
    <w:rsid w:val="00486C41"/>
    <w:rsid w:val="00493B17"/>
    <w:rsid w:val="004952E0"/>
    <w:rsid w:val="00496F7E"/>
    <w:rsid w:val="00497FD5"/>
    <w:rsid w:val="004A6E11"/>
    <w:rsid w:val="004B22E9"/>
    <w:rsid w:val="004B4F5F"/>
    <w:rsid w:val="004B4F6F"/>
    <w:rsid w:val="004B53C5"/>
    <w:rsid w:val="004B5B0A"/>
    <w:rsid w:val="004B79B3"/>
    <w:rsid w:val="004C291C"/>
    <w:rsid w:val="004C3105"/>
    <w:rsid w:val="004C712E"/>
    <w:rsid w:val="004D4DAB"/>
    <w:rsid w:val="004D76A7"/>
    <w:rsid w:val="004D7FA5"/>
    <w:rsid w:val="004E6948"/>
    <w:rsid w:val="004F0B05"/>
    <w:rsid w:val="004F292C"/>
    <w:rsid w:val="004F2DE5"/>
    <w:rsid w:val="004F4614"/>
    <w:rsid w:val="004F4A0F"/>
    <w:rsid w:val="004F4EAB"/>
    <w:rsid w:val="004F5F55"/>
    <w:rsid w:val="004F7077"/>
    <w:rsid w:val="005013D3"/>
    <w:rsid w:val="00502121"/>
    <w:rsid w:val="00503DF6"/>
    <w:rsid w:val="0050562B"/>
    <w:rsid w:val="005058E1"/>
    <w:rsid w:val="00506691"/>
    <w:rsid w:val="00507A3F"/>
    <w:rsid w:val="00511FEB"/>
    <w:rsid w:val="00531532"/>
    <w:rsid w:val="00534EE1"/>
    <w:rsid w:val="0053791F"/>
    <w:rsid w:val="00537D3F"/>
    <w:rsid w:val="00537D6F"/>
    <w:rsid w:val="00542509"/>
    <w:rsid w:val="005460E8"/>
    <w:rsid w:val="00546435"/>
    <w:rsid w:val="00550082"/>
    <w:rsid w:val="0055236F"/>
    <w:rsid w:val="00552392"/>
    <w:rsid w:val="005532FD"/>
    <w:rsid w:val="00553CE1"/>
    <w:rsid w:val="0055600C"/>
    <w:rsid w:val="0055632E"/>
    <w:rsid w:val="005652B0"/>
    <w:rsid w:val="00566439"/>
    <w:rsid w:val="00567668"/>
    <w:rsid w:val="0057232D"/>
    <w:rsid w:val="005758EA"/>
    <w:rsid w:val="00580025"/>
    <w:rsid w:val="00581810"/>
    <w:rsid w:val="00581A65"/>
    <w:rsid w:val="005852D4"/>
    <w:rsid w:val="00592795"/>
    <w:rsid w:val="00592B34"/>
    <w:rsid w:val="005958BD"/>
    <w:rsid w:val="005A0083"/>
    <w:rsid w:val="005A3DEC"/>
    <w:rsid w:val="005A5539"/>
    <w:rsid w:val="005A646A"/>
    <w:rsid w:val="005B1DE7"/>
    <w:rsid w:val="005B5873"/>
    <w:rsid w:val="005B6F0A"/>
    <w:rsid w:val="005B6F19"/>
    <w:rsid w:val="005C2484"/>
    <w:rsid w:val="005D0C75"/>
    <w:rsid w:val="005D15A7"/>
    <w:rsid w:val="005D2AEB"/>
    <w:rsid w:val="005D4958"/>
    <w:rsid w:val="005D6CDF"/>
    <w:rsid w:val="005E336D"/>
    <w:rsid w:val="005E46DA"/>
    <w:rsid w:val="005E536A"/>
    <w:rsid w:val="005E63EF"/>
    <w:rsid w:val="005F2372"/>
    <w:rsid w:val="00601F04"/>
    <w:rsid w:val="00605D00"/>
    <w:rsid w:val="0060634C"/>
    <w:rsid w:val="00607F52"/>
    <w:rsid w:val="006128E2"/>
    <w:rsid w:val="006171AD"/>
    <w:rsid w:val="00621C62"/>
    <w:rsid w:val="00626A8D"/>
    <w:rsid w:val="00626CB1"/>
    <w:rsid w:val="0063123C"/>
    <w:rsid w:val="00631A69"/>
    <w:rsid w:val="00631B2F"/>
    <w:rsid w:val="006339C6"/>
    <w:rsid w:val="00635A89"/>
    <w:rsid w:val="006436F1"/>
    <w:rsid w:val="00643738"/>
    <w:rsid w:val="00650CCC"/>
    <w:rsid w:val="00650EF5"/>
    <w:rsid w:val="00651F6B"/>
    <w:rsid w:val="006523C5"/>
    <w:rsid w:val="006531DA"/>
    <w:rsid w:val="0065371F"/>
    <w:rsid w:val="0065516D"/>
    <w:rsid w:val="006571BA"/>
    <w:rsid w:val="0065733E"/>
    <w:rsid w:val="00657C5C"/>
    <w:rsid w:val="00661329"/>
    <w:rsid w:val="00666077"/>
    <w:rsid w:val="00677A63"/>
    <w:rsid w:val="0068113F"/>
    <w:rsid w:val="00681D56"/>
    <w:rsid w:val="00692AF4"/>
    <w:rsid w:val="00696C90"/>
    <w:rsid w:val="006A2866"/>
    <w:rsid w:val="006A4E9A"/>
    <w:rsid w:val="006A6D19"/>
    <w:rsid w:val="006B4C43"/>
    <w:rsid w:val="006B5D80"/>
    <w:rsid w:val="006C27B2"/>
    <w:rsid w:val="006C2F0B"/>
    <w:rsid w:val="006C503A"/>
    <w:rsid w:val="006C5EA2"/>
    <w:rsid w:val="006C7DA5"/>
    <w:rsid w:val="006D0CA2"/>
    <w:rsid w:val="006D128F"/>
    <w:rsid w:val="006D50B2"/>
    <w:rsid w:val="006D6B4F"/>
    <w:rsid w:val="006D6D07"/>
    <w:rsid w:val="006E35D2"/>
    <w:rsid w:val="006E3F00"/>
    <w:rsid w:val="006E7173"/>
    <w:rsid w:val="006F2466"/>
    <w:rsid w:val="006F6817"/>
    <w:rsid w:val="006F77E4"/>
    <w:rsid w:val="00702826"/>
    <w:rsid w:val="00704D9D"/>
    <w:rsid w:val="00704FC5"/>
    <w:rsid w:val="007063A5"/>
    <w:rsid w:val="0070771F"/>
    <w:rsid w:val="00712484"/>
    <w:rsid w:val="00712653"/>
    <w:rsid w:val="00726D9C"/>
    <w:rsid w:val="0072795E"/>
    <w:rsid w:val="00727DA1"/>
    <w:rsid w:val="00732051"/>
    <w:rsid w:val="00734F25"/>
    <w:rsid w:val="00735B77"/>
    <w:rsid w:val="0073700E"/>
    <w:rsid w:val="00743731"/>
    <w:rsid w:val="00743E15"/>
    <w:rsid w:val="00743E45"/>
    <w:rsid w:val="00750343"/>
    <w:rsid w:val="00752DE7"/>
    <w:rsid w:val="00761502"/>
    <w:rsid w:val="007632BB"/>
    <w:rsid w:val="00764B72"/>
    <w:rsid w:val="00766B4B"/>
    <w:rsid w:val="0076746C"/>
    <w:rsid w:val="007727A7"/>
    <w:rsid w:val="00773D92"/>
    <w:rsid w:val="00776C73"/>
    <w:rsid w:val="0077717C"/>
    <w:rsid w:val="007773FA"/>
    <w:rsid w:val="00780C7C"/>
    <w:rsid w:val="00782F63"/>
    <w:rsid w:val="0078387F"/>
    <w:rsid w:val="00784388"/>
    <w:rsid w:val="00790823"/>
    <w:rsid w:val="0079104F"/>
    <w:rsid w:val="00791DF1"/>
    <w:rsid w:val="007959D1"/>
    <w:rsid w:val="007968EB"/>
    <w:rsid w:val="007A3D95"/>
    <w:rsid w:val="007A51B9"/>
    <w:rsid w:val="007A713C"/>
    <w:rsid w:val="007B5E82"/>
    <w:rsid w:val="007B7E5F"/>
    <w:rsid w:val="007C0DD8"/>
    <w:rsid w:val="007C6EDE"/>
    <w:rsid w:val="007D3E2C"/>
    <w:rsid w:val="007E49ED"/>
    <w:rsid w:val="007E6EF7"/>
    <w:rsid w:val="007F0876"/>
    <w:rsid w:val="007F1F68"/>
    <w:rsid w:val="007F34BD"/>
    <w:rsid w:val="007F3AA4"/>
    <w:rsid w:val="00803898"/>
    <w:rsid w:val="00803A0D"/>
    <w:rsid w:val="00806BC1"/>
    <w:rsid w:val="00806DE6"/>
    <w:rsid w:val="00811869"/>
    <w:rsid w:val="00811C92"/>
    <w:rsid w:val="00812575"/>
    <w:rsid w:val="00814609"/>
    <w:rsid w:val="00814FF2"/>
    <w:rsid w:val="0082005C"/>
    <w:rsid w:val="008216CF"/>
    <w:rsid w:val="00822B97"/>
    <w:rsid w:val="00825473"/>
    <w:rsid w:val="008271D9"/>
    <w:rsid w:val="008273D8"/>
    <w:rsid w:val="00833F7C"/>
    <w:rsid w:val="00834096"/>
    <w:rsid w:val="00834E79"/>
    <w:rsid w:val="00836D19"/>
    <w:rsid w:val="00837382"/>
    <w:rsid w:val="0084449D"/>
    <w:rsid w:val="008502E3"/>
    <w:rsid w:val="008510A0"/>
    <w:rsid w:val="00851135"/>
    <w:rsid w:val="0086488E"/>
    <w:rsid w:val="0086599B"/>
    <w:rsid w:val="00865DEF"/>
    <w:rsid w:val="0086638D"/>
    <w:rsid w:val="0086790E"/>
    <w:rsid w:val="0088265A"/>
    <w:rsid w:val="00883FD9"/>
    <w:rsid w:val="008869F0"/>
    <w:rsid w:val="00892988"/>
    <w:rsid w:val="008933E0"/>
    <w:rsid w:val="00894B1A"/>
    <w:rsid w:val="00895043"/>
    <w:rsid w:val="008A2865"/>
    <w:rsid w:val="008A36B0"/>
    <w:rsid w:val="008A69AA"/>
    <w:rsid w:val="008B1342"/>
    <w:rsid w:val="008B338F"/>
    <w:rsid w:val="008B3552"/>
    <w:rsid w:val="008B470C"/>
    <w:rsid w:val="008B69AF"/>
    <w:rsid w:val="008C16CD"/>
    <w:rsid w:val="008C24EE"/>
    <w:rsid w:val="008C3F75"/>
    <w:rsid w:val="008D0588"/>
    <w:rsid w:val="008D1368"/>
    <w:rsid w:val="008D5AF3"/>
    <w:rsid w:val="008D5C4F"/>
    <w:rsid w:val="008D7998"/>
    <w:rsid w:val="008E0255"/>
    <w:rsid w:val="008E04E3"/>
    <w:rsid w:val="008E45CC"/>
    <w:rsid w:val="008E5C2C"/>
    <w:rsid w:val="008E5EF1"/>
    <w:rsid w:val="008F1259"/>
    <w:rsid w:val="008F14C3"/>
    <w:rsid w:val="008F23D4"/>
    <w:rsid w:val="008F3801"/>
    <w:rsid w:val="008F49F4"/>
    <w:rsid w:val="008F4D29"/>
    <w:rsid w:val="008F4F3D"/>
    <w:rsid w:val="008F76A0"/>
    <w:rsid w:val="008F7CD1"/>
    <w:rsid w:val="00900164"/>
    <w:rsid w:val="00900E8A"/>
    <w:rsid w:val="009045BD"/>
    <w:rsid w:val="00905A44"/>
    <w:rsid w:val="0091143E"/>
    <w:rsid w:val="00915339"/>
    <w:rsid w:val="009261F1"/>
    <w:rsid w:val="0092722A"/>
    <w:rsid w:val="00935168"/>
    <w:rsid w:val="009353BA"/>
    <w:rsid w:val="00940AC1"/>
    <w:rsid w:val="00942871"/>
    <w:rsid w:val="00944664"/>
    <w:rsid w:val="0095221F"/>
    <w:rsid w:val="009540E4"/>
    <w:rsid w:val="00954617"/>
    <w:rsid w:val="009559C6"/>
    <w:rsid w:val="0095654B"/>
    <w:rsid w:val="0096483D"/>
    <w:rsid w:val="009657A4"/>
    <w:rsid w:val="00970A68"/>
    <w:rsid w:val="009757E0"/>
    <w:rsid w:val="009770E8"/>
    <w:rsid w:val="009802DD"/>
    <w:rsid w:val="00983153"/>
    <w:rsid w:val="00985246"/>
    <w:rsid w:val="009864D4"/>
    <w:rsid w:val="00987871"/>
    <w:rsid w:val="00990AE5"/>
    <w:rsid w:val="00992A46"/>
    <w:rsid w:val="009945E6"/>
    <w:rsid w:val="009947BA"/>
    <w:rsid w:val="00994E00"/>
    <w:rsid w:val="00994FC0"/>
    <w:rsid w:val="00995CE9"/>
    <w:rsid w:val="00997D55"/>
    <w:rsid w:val="009A103E"/>
    <w:rsid w:val="009A585A"/>
    <w:rsid w:val="009B073B"/>
    <w:rsid w:val="009B16A2"/>
    <w:rsid w:val="009B5EE8"/>
    <w:rsid w:val="009B765A"/>
    <w:rsid w:val="009C6A61"/>
    <w:rsid w:val="009D0F85"/>
    <w:rsid w:val="009D13B3"/>
    <w:rsid w:val="009D29FD"/>
    <w:rsid w:val="009D7790"/>
    <w:rsid w:val="009E1F9A"/>
    <w:rsid w:val="009E2EF1"/>
    <w:rsid w:val="009E70EC"/>
    <w:rsid w:val="009F02A4"/>
    <w:rsid w:val="009F450E"/>
    <w:rsid w:val="009F4EC0"/>
    <w:rsid w:val="00A003F6"/>
    <w:rsid w:val="00A0262F"/>
    <w:rsid w:val="00A0576B"/>
    <w:rsid w:val="00A24321"/>
    <w:rsid w:val="00A27013"/>
    <w:rsid w:val="00A308F5"/>
    <w:rsid w:val="00A32E0A"/>
    <w:rsid w:val="00A427BA"/>
    <w:rsid w:val="00A46174"/>
    <w:rsid w:val="00A5181F"/>
    <w:rsid w:val="00A537DC"/>
    <w:rsid w:val="00A54313"/>
    <w:rsid w:val="00A636D0"/>
    <w:rsid w:val="00A64C68"/>
    <w:rsid w:val="00A66230"/>
    <w:rsid w:val="00A7137B"/>
    <w:rsid w:val="00A728E6"/>
    <w:rsid w:val="00A72F39"/>
    <w:rsid w:val="00A76E9E"/>
    <w:rsid w:val="00A81639"/>
    <w:rsid w:val="00A8547A"/>
    <w:rsid w:val="00A901A7"/>
    <w:rsid w:val="00A94F7A"/>
    <w:rsid w:val="00AA042C"/>
    <w:rsid w:val="00AA1AE1"/>
    <w:rsid w:val="00AA3372"/>
    <w:rsid w:val="00AA3B1A"/>
    <w:rsid w:val="00AA3C07"/>
    <w:rsid w:val="00AA5177"/>
    <w:rsid w:val="00AA57C9"/>
    <w:rsid w:val="00AB4FE2"/>
    <w:rsid w:val="00AC0F47"/>
    <w:rsid w:val="00AC4FAE"/>
    <w:rsid w:val="00AD230A"/>
    <w:rsid w:val="00AD7153"/>
    <w:rsid w:val="00AD7907"/>
    <w:rsid w:val="00AE15E6"/>
    <w:rsid w:val="00AE534F"/>
    <w:rsid w:val="00AE6F84"/>
    <w:rsid w:val="00AF758B"/>
    <w:rsid w:val="00B03783"/>
    <w:rsid w:val="00B10679"/>
    <w:rsid w:val="00B11578"/>
    <w:rsid w:val="00B17C19"/>
    <w:rsid w:val="00B209B7"/>
    <w:rsid w:val="00B35803"/>
    <w:rsid w:val="00B36FEC"/>
    <w:rsid w:val="00B40F48"/>
    <w:rsid w:val="00B4630F"/>
    <w:rsid w:val="00B465DA"/>
    <w:rsid w:val="00B47417"/>
    <w:rsid w:val="00B47B3C"/>
    <w:rsid w:val="00B517DF"/>
    <w:rsid w:val="00B534BA"/>
    <w:rsid w:val="00B61621"/>
    <w:rsid w:val="00B616F0"/>
    <w:rsid w:val="00B62890"/>
    <w:rsid w:val="00B63A51"/>
    <w:rsid w:val="00B710F8"/>
    <w:rsid w:val="00B76201"/>
    <w:rsid w:val="00B76328"/>
    <w:rsid w:val="00B81CFD"/>
    <w:rsid w:val="00B81EEE"/>
    <w:rsid w:val="00B82688"/>
    <w:rsid w:val="00B82D7D"/>
    <w:rsid w:val="00B85FAC"/>
    <w:rsid w:val="00B90BE7"/>
    <w:rsid w:val="00B9496D"/>
    <w:rsid w:val="00BA14EE"/>
    <w:rsid w:val="00BA235A"/>
    <w:rsid w:val="00BA3AD4"/>
    <w:rsid w:val="00BB07CF"/>
    <w:rsid w:val="00BB0908"/>
    <w:rsid w:val="00BB78EB"/>
    <w:rsid w:val="00BC014A"/>
    <w:rsid w:val="00BC2548"/>
    <w:rsid w:val="00BC5D30"/>
    <w:rsid w:val="00BC6E41"/>
    <w:rsid w:val="00BD201A"/>
    <w:rsid w:val="00BD2F10"/>
    <w:rsid w:val="00BE563F"/>
    <w:rsid w:val="00BF0651"/>
    <w:rsid w:val="00BF0B04"/>
    <w:rsid w:val="00BF2BC7"/>
    <w:rsid w:val="00BF7EB5"/>
    <w:rsid w:val="00C00E26"/>
    <w:rsid w:val="00C0557E"/>
    <w:rsid w:val="00C13D81"/>
    <w:rsid w:val="00C153D9"/>
    <w:rsid w:val="00C213CD"/>
    <w:rsid w:val="00C217B9"/>
    <w:rsid w:val="00C219E9"/>
    <w:rsid w:val="00C24581"/>
    <w:rsid w:val="00C323A9"/>
    <w:rsid w:val="00C3433C"/>
    <w:rsid w:val="00C34BB4"/>
    <w:rsid w:val="00C368A6"/>
    <w:rsid w:val="00C41117"/>
    <w:rsid w:val="00C45E42"/>
    <w:rsid w:val="00C51802"/>
    <w:rsid w:val="00C52CD2"/>
    <w:rsid w:val="00C53E81"/>
    <w:rsid w:val="00C57A07"/>
    <w:rsid w:val="00C601C7"/>
    <w:rsid w:val="00C639A8"/>
    <w:rsid w:val="00C661E8"/>
    <w:rsid w:val="00C70311"/>
    <w:rsid w:val="00C703FF"/>
    <w:rsid w:val="00C70B2F"/>
    <w:rsid w:val="00C70F0E"/>
    <w:rsid w:val="00C73056"/>
    <w:rsid w:val="00C734B0"/>
    <w:rsid w:val="00C7561A"/>
    <w:rsid w:val="00C87050"/>
    <w:rsid w:val="00C90A12"/>
    <w:rsid w:val="00C90D89"/>
    <w:rsid w:val="00C95257"/>
    <w:rsid w:val="00C95CD6"/>
    <w:rsid w:val="00CA06CB"/>
    <w:rsid w:val="00CA06D4"/>
    <w:rsid w:val="00CA2555"/>
    <w:rsid w:val="00CA39F7"/>
    <w:rsid w:val="00CA3DDC"/>
    <w:rsid w:val="00CA4FE3"/>
    <w:rsid w:val="00CB2A09"/>
    <w:rsid w:val="00CB3B50"/>
    <w:rsid w:val="00CB50B8"/>
    <w:rsid w:val="00CB769F"/>
    <w:rsid w:val="00CC593B"/>
    <w:rsid w:val="00CC7C4A"/>
    <w:rsid w:val="00CD2459"/>
    <w:rsid w:val="00CD4465"/>
    <w:rsid w:val="00CD538D"/>
    <w:rsid w:val="00CE11D3"/>
    <w:rsid w:val="00CE17B0"/>
    <w:rsid w:val="00CE2632"/>
    <w:rsid w:val="00CF4FC0"/>
    <w:rsid w:val="00CF6853"/>
    <w:rsid w:val="00CF6FB2"/>
    <w:rsid w:val="00D00EB9"/>
    <w:rsid w:val="00D0178A"/>
    <w:rsid w:val="00D06182"/>
    <w:rsid w:val="00D1219C"/>
    <w:rsid w:val="00D1291D"/>
    <w:rsid w:val="00D1335A"/>
    <w:rsid w:val="00D1630C"/>
    <w:rsid w:val="00D1720F"/>
    <w:rsid w:val="00D233E6"/>
    <w:rsid w:val="00D33B0A"/>
    <w:rsid w:val="00D33B21"/>
    <w:rsid w:val="00D35015"/>
    <w:rsid w:val="00D35D80"/>
    <w:rsid w:val="00D5271E"/>
    <w:rsid w:val="00D54AF0"/>
    <w:rsid w:val="00D55912"/>
    <w:rsid w:val="00D64DE7"/>
    <w:rsid w:val="00D74009"/>
    <w:rsid w:val="00D75F91"/>
    <w:rsid w:val="00D76943"/>
    <w:rsid w:val="00D80A21"/>
    <w:rsid w:val="00D80B2C"/>
    <w:rsid w:val="00D81719"/>
    <w:rsid w:val="00D83DDC"/>
    <w:rsid w:val="00D84C02"/>
    <w:rsid w:val="00D862D1"/>
    <w:rsid w:val="00D92543"/>
    <w:rsid w:val="00D9489C"/>
    <w:rsid w:val="00D956EC"/>
    <w:rsid w:val="00DA0C9F"/>
    <w:rsid w:val="00DA1FDD"/>
    <w:rsid w:val="00DA2E98"/>
    <w:rsid w:val="00DA7025"/>
    <w:rsid w:val="00DB2463"/>
    <w:rsid w:val="00DC4DCA"/>
    <w:rsid w:val="00DC7423"/>
    <w:rsid w:val="00DD3795"/>
    <w:rsid w:val="00DD4AAA"/>
    <w:rsid w:val="00DD64FA"/>
    <w:rsid w:val="00DE2F27"/>
    <w:rsid w:val="00DE3A1D"/>
    <w:rsid w:val="00DE4E52"/>
    <w:rsid w:val="00DF29F7"/>
    <w:rsid w:val="00E02F84"/>
    <w:rsid w:val="00E03079"/>
    <w:rsid w:val="00E03538"/>
    <w:rsid w:val="00E04DC5"/>
    <w:rsid w:val="00E07DCF"/>
    <w:rsid w:val="00E10BE4"/>
    <w:rsid w:val="00E11251"/>
    <w:rsid w:val="00E13A9E"/>
    <w:rsid w:val="00E13F76"/>
    <w:rsid w:val="00E1596E"/>
    <w:rsid w:val="00E31246"/>
    <w:rsid w:val="00E327EF"/>
    <w:rsid w:val="00E342CB"/>
    <w:rsid w:val="00E34B44"/>
    <w:rsid w:val="00E410A9"/>
    <w:rsid w:val="00E42EEF"/>
    <w:rsid w:val="00E44DF0"/>
    <w:rsid w:val="00E475C2"/>
    <w:rsid w:val="00E503E2"/>
    <w:rsid w:val="00E511A0"/>
    <w:rsid w:val="00E5464E"/>
    <w:rsid w:val="00E55787"/>
    <w:rsid w:val="00E57012"/>
    <w:rsid w:val="00E63823"/>
    <w:rsid w:val="00E63919"/>
    <w:rsid w:val="00E71C86"/>
    <w:rsid w:val="00E75428"/>
    <w:rsid w:val="00E84469"/>
    <w:rsid w:val="00E86486"/>
    <w:rsid w:val="00E86E66"/>
    <w:rsid w:val="00E87CD9"/>
    <w:rsid w:val="00E9470A"/>
    <w:rsid w:val="00E96C1B"/>
    <w:rsid w:val="00E977CF"/>
    <w:rsid w:val="00E97F79"/>
    <w:rsid w:val="00EA00B0"/>
    <w:rsid w:val="00EA0A74"/>
    <w:rsid w:val="00EA5D13"/>
    <w:rsid w:val="00EA6BF3"/>
    <w:rsid w:val="00EA6EEE"/>
    <w:rsid w:val="00EB2E6E"/>
    <w:rsid w:val="00EB3257"/>
    <w:rsid w:val="00EC47DC"/>
    <w:rsid w:val="00EC7200"/>
    <w:rsid w:val="00ED05A8"/>
    <w:rsid w:val="00ED1F67"/>
    <w:rsid w:val="00ED61D2"/>
    <w:rsid w:val="00ED648F"/>
    <w:rsid w:val="00EE0392"/>
    <w:rsid w:val="00EE68CB"/>
    <w:rsid w:val="00EF2405"/>
    <w:rsid w:val="00EF56CD"/>
    <w:rsid w:val="00EF739F"/>
    <w:rsid w:val="00F009A1"/>
    <w:rsid w:val="00F027FD"/>
    <w:rsid w:val="00F033C8"/>
    <w:rsid w:val="00F06730"/>
    <w:rsid w:val="00F074BC"/>
    <w:rsid w:val="00F10392"/>
    <w:rsid w:val="00F17486"/>
    <w:rsid w:val="00F23D2E"/>
    <w:rsid w:val="00F25020"/>
    <w:rsid w:val="00F30EEE"/>
    <w:rsid w:val="00F316F3"/>
    <w:rsid w:val="00F32D91"/>
    <w:rsid w:val="00F33283"/>
    <w:rsid w:val="00F34B77"/>
    <w:rsid w:val="00F42441"/>
    <w:rsid w:val="00F43339"/>
    <w:rsid w:val="00F46882"/>
    <w:rsid w:val="00F46A80"/>
    <w:rsid w:val="00F47A73"/>
    <w:rsid w:val="00F55C9A"/>
    <w:rsid w:val="00F56BE0"/>
    <w:rsid w:val="00F60B09"/>
    <w:rsid w:val="00F612A4"/>
    <w:rsid w:val="00F63513"/>
    <w:rsid w:val="00F7146C"/>
    <w:rsid w:val="00F71541"/>
    <w:rsid w:val="00F765D1"/>
    <w:rsid w:val="00F81759"/>
    <w:rsid w:val="00F82E67"/>
    <w:rsid w:val="00F838C8"/>
    <w:rsid w:val="00F84BF8"/>
    <w:rsid w:val="00F91C69"/>
    <w:rsid w:val="00F92077"/>
    <w:rsid w:val="00F92945"/>
    <w:rsid w:val="00F945F7"/>
    <w:rsid w:val="00FA1A04"/>
    <w:rsid w:val="00FA341A"/>
    <w:rsid w:val="00FB3E23"/>
    <w:rsid w:val="00FB3FE4"/>
    <w:rsid w:val="00FB48E4"/>
    <w:rsid w:val="00FB6E43"/>
    <w:rsid w:val="00FC039A"/>
    <w:rsid w:val="00FC21E6"/>
    <w:rsid w:val="00FC36B6"/>
    <w:rsid w:val="00FD4AE7"/>
    <w:rsid w:val="00FD6F95"/>
    <w:rsid w:val="00FD73FB"/>
    <w:rsid w:val="00FF077A"/>
    <w:rsid w:val="00FF7385"/>
    <w:rsid w:val="00FF73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67195"/>
  <w15:chartTrackingRefBased/>
  <w15:docId w15:val="{27971333-76BC-4ACB-B174-93A5167B0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D80"/>
  </w:style>
  <w:style w:type="paragraph" w:styleId="Heading1">
    <w:name w:val="heading 1"/>
    <w:basedOn w:val="Normal"/>
    <w:next w:val="Normal"/>
    <w:link w:val="Heading1Char"/>
    <w:uiPriority w:val="9"/>
    <w:qFormat/>
    <w:rsid w:val="006B5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D80"/>
    <w:rPr>
      <w:rFonts w:eastAsiaTheme="majorEastAsia" w:cstheme="majorBidi"/>
      <w:color w:val="272727" w:themeColor="text1" w:themeTint="D8"/>
    </w:rPr>
  </w:style>
  <w:style w:type="paragraph" w:styleId="Title">
    <w:name w:val="Title"/>
    <w:basedOn w:val="Normal"/>
    <w:next w:val="Normal"/>
    <w:link w:val="TitleChar"/>
    <w:uiPriority w:val="10"/>
    <w:qFormat/>
    <w:rsid w:val="006B5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D80"/>
    <w:pPr>
      <w:spacing w:before="160"/>
      <w:jc w:val="center"/>
    </w:pPr>
    <w:rPr>
      <w:i/>
      <w:iCs/>
      <w:color w:val="404040" w:themeColor="text1" w:themeTint="BF"/>
    </w:rPr>
  </w:style>
  <w:style w:type="character" w:customStyle="1" w:styleId="QuoteChar">
    <w:name w:val="Quote Char"/>
    <w:basedOn w:val="DefaultParagraphFont"/>
    <w:link w:val="Quote"/>
    <w:uiPriority w:val="29"/>
    <w:rsid w:val="006B5D80"/>
    <w:rPr>
      <w:i/>
      <w:iCs/>
      <w:color w:val="404040" w:themeColor="text1" w:themeTint="BF"/>
    </w:rPr>
  </w:style>
  <w:style w:type="paragraph" w:styleId="ListParagraph">
    <w:name w:val="List Paragraph"/>
    <w:basedOn w:val="Normal"/>
    <w:uiPriority w:val="34"/>
    <w:qFormat/>
    <w:rsid w:val="006B5D80"/>
    <w:pPr>
      <w:ind w:left="720"/>
      <w:contextualSpacing/>
    </w:pPr>
  </w:style>
  <w:style w:type="character" w:styleId="IntenseEmphasis">
    <w:name w:val="Intense Emphasis"/>
    <w:basedOn w:val="DefaultParagraphFont"/>
    <w:uiPriority w:val="21"/>
    <w:qFormat/>
    <w:rsid w:val="006B5D80"/>
    <w:rPr>
      <w:i/>
      <w:iCs/>
      <w:color w:val="0F4761" w:themeColor="accent1" w:themeShade="BF"/>
    </w:rPr>
  </w:style>
  <w:style w:type="paragraph" w:styleId="IntenseQuote">
    <w:name w:val="Intense Quote"/>
    <w:basedOn w:val="Normal"/>
    <w:next w:val="Normal"/>
    <w:link w:val="IntenseQuoteChar"/>
    <w:uiPriority w:val="30"/>
    <w:qFormat/>
    <w:rsid w:val="006B5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D80"/>
    <w:rPr>
      <w:i/>
      <w:iCs/>
      <w:color w:val="0F4761" w:themeColor="accent1" w:themeShade="BF"/>
    </w:rPr>
  </w:style>
  <w:style w:type="character" w:styleId="IntenseReference">
    <w:name w:val="Intense Reference"/>
    <w:basedOn w:val="DefaultParagraphFont"/>
    <w:uiPriority w:val="32"/>
    <w:qFormat/>
    <w:rsid w:val="006B5D80"/>
    <w:rPr>
      <w:b/>
      <w:bCs/>
      <w:smallCaps/>
      <w:color w:val="0F4761" w:themeColor="accent1" w:themeShade="BF"/>
      <w:spacing w:val="5"/>
    </w:rPr>
  </w:style>
  <w:style w:type="character" w:styleId="Hyperlink">
    <w:name w:val="Hyperlink"/>
    <w:basedOn w:val="DefaultParagraphFont"/>
    <w:uiPriority w:val="99"/>
    <w:unhideWhenUsed/>
    <w:rsid w:val="00E977CF"/>
    <w:rPr>
      <w:color w:val="467886" w:themeColor="hyperlink"/>
      <w:u w:val="single"/>
    </w:rPr>
  </w:style>
  <w:style w:type="table" w:styleId="TableGrid">
    <w:name w:val="Table Grid"/>
    <w:basedOn w:val="TableNormal"/>
    <w:uiPriority w:val="39"/>
    <w:rsid w:val="00D33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D5AF3"/>
    <w:rPr>
      <w:rFonts w:ascii="Times New Roman" w:hAnsi="Times New Roman" w:cs="Times New Roman"/>
    </w:rPr>
  </w:style>
  <w:style w:type="character" w:styleId="FollowedHyperlink">
    <w:name w:val="FollowedHyperlink"/>
    <w:basedOn w:val="DefaultParagraphFont"/>
    <w:uiPriority w:val="99"/>
    <w:semiHidden/>
    <w:unhideWhenUsed/>
    <w:rsid w:val="00CB3B5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government/publications/delivering-better-oral-health-an-evidence-based-toolkit-for-prevention/chapter-5-periodontal-diseases" TargetMode="External"/><Relationship Id="rId13" Type="http://schemas.openxmlformats.org/officeDocument/2006/relationships/hyperlink" Target="https://digital.nhs.uk/data-and-information/publications/statistical/primary-care-dementia-data/december-2023?utm_source=chatgpt.com"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www.ons.gov.uk/peoplepopulationandcommunity/populationandmigration/populationprojections/datasets/regionsinenglandtable1"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gov.uk/government/statistics/adult-oral-health-survey-2023"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ons.gov.uk/peoplepopulationandcommunity/populationandmigration/populationestimates/datasets/estimatesofthepopulationforenglandandwales" TargetMode="External"/><Relationship Id="rId5" Type="http://schemas.openxmlformats.org/officeDocument/2006/relationships/image" Target="media/image2.png"/><Relationship Id="rId15" Type="http://schemas.openxmlformats.org/officeDocument/2006/relationships/hyperlink" Target="https://www.gov.uk/government/statistics/gdp-deflators-at-market-prices-and-money-gdp-march-2025-spring-statement-quarterly-national-accounts" TargetMode="External"/><Relationship Id="rId10" Type="http://schemas.openxmlformats.org/officeDocument/2006/relationships/hyperlink" Target="https://population.un.org/wpp/Download/Standard/Population/" TargetMode="External"/><Relationship Id="rId4" Type="http://schemas.openxmlformats.org/officeDocument/2006/relationships/image" Target="media/image1.png"/><Relationship Id="rId9" Type="http://schemas.openxmlformats.org/officeDocument/2006/relationships/hyperlink" Target="https://www.who.int/publications/i/item/9789240061484" TargetMode="External"/><Relationship Id="rId14" Type="http://schemas.openxmlformats.org/officeDocument/2006/relationships/hyperlink" Target="https://www.alzheimers.org.uk/sites/default/files/2024-05/the-annual-costs-of-dementia.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7631</Words>
  <Characters>43497</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Coote</dc:creator>
  <cp:keywords/>
  <dc:description/>
  <cp:lastModifiedBy>Edward Coote</cp:lastModifiedBy>
  <cp:revision>819</cp:revision>
  <dcterms:created xsi:type="dcterms:W3CDTF">2026-02-05T14:29:00Z</dcterms:created>
  <dcterms:modified xsi:type="dcterms:W3CDTF">2026-02-18T14:06:00Z</dcterms:modified>
</cp:coreProperties>
</file>