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C4A02" w14:textId="291F0593" w:rsidR="00F44D05" w:rsidRPr="00564002" w:rsidRDefault="00F44D05">
      <w:pPr>
        <w:rPr>
          <w:b/>
          <w:bCs/>
          <w:sz w:val="28"/>
          <w:szCs w:val="28"/>
        </w:rPr>
      </w:pPr>
      <w:r w:rsidRPr="00564002">
        <w:rPr>
          <w:b/>
          <w:bCs/>
          <w:sz w:val="28"/>
          <w:szCs w:val="28"/>
        </w:rPr>
        <w:t>Methods</w:t>
      </w:r>
    </w:p>
    <w:p w14:paraId="0C9BC413" w14:textId="00056F57" w:rsidR="00F44D05" w:rsidRPr="00564002" w:rsidRDefault="004634C1">
      <w:pPr>
        <w:rPr>
          <w:b/>
          <w:bCs/>
        </w:rPr>
      </w:pPr>
      <w:r w:rsidRPr="00564002">
        <w:rPr>
          <w:b/>
          <w:bCs/>
        </w:rPr>
        <w:t>Model overview</w:t>
      </w:r>
    </w:p>
    <w:p w14:paraId="4F11F6EA" w14:textId="27DA0186" w:rsidR="002006FD" w:rsidRPr="00564002" w:rsidRDefault="00721DC7" w:rsidP="002006FD">
      <w:r w:rsidRPr="00721DC7">
        <w:t>We simulated the England population from 2023 to 2040 in annual time steps. Each year, new individuals were added to the simulation based on age- and sex-specific population projections from the ONS [1,7]</w:t>
      </w:r>
      <w:r>
        <w:t>.</w:t>
      </w:r>
      <w:r w:rsidR="00FE2178" w:rsidRPr="00564002">
        <w:t xml:space="preserve"> </w:t>
      </w:r>
      <w:r w:rsidR="00437254">
        <w:t xml:space="preserve">Dementia cases formally diagnosed and added </w:t>
      </w:r>
      <w:r w:rsidR="003E41B2">
        <w:t>on</w:t>
      </w:r>
      <w:r w:rsidR="00437254">
        <w:t xml:space="preserve"> the </w:t>
      </w:r>
      <w:r w:rsidR="00F516D9">
        <w:t xml:space="preserve">Primary Care Dementia Data </w:t>
      </w:r>
      <w:r w:rsidR="00437254">
        <w:t>register were used to set the model</w:t>
      </w:r>
      <w:r w:rsidR="00905762">
        <w:t xml:space="preserve">. </w:t>
      </w:r>
    </w:p>
    <w:p w14:paraId="250513C0" w14:textId="0311D371" w:rsidR="009B63F7" w:rsidRPr="00564002" w:rsidRDefault="007923CD">
      <w:r w:rsidRPr="007923CD">
        <w:t>We developed a stochastic, time-to-event microsimulation model for dementia progression (similar to prior models in the Netherlands and USA)</w:t>
      </w:r>
      <w:r w:rsidR="008C12F7">
        <w:t xml:space="preserve"> [2,3]</w:t>
      </w:r>
      <w:r>
        <w:t>.</w:t>
      </w:r>
      <w:r w:rsidR="00F618B3" w:rsidRPr="00564002">
        <w:t xml:space="preserve"> </w:t>
      </w:r>
      <w:r w:rsidR="00370999" w:rsidRPr="00564002">
        <w:t xml:space="preserve">Aligning risks </w:t>
      </w:r>
      <w:r w:rsidR="00251B07" w:rsidRPr="00564002">
        <w:t xml:space="preserve">to change </w:t>
      </w:r>
      <w:r w:rsidR="00370999" w:rsidRPr="00564002">
        <w:t xml:space="preserve">with </w:t>
      </w:r>
      <w:r w:rsidR="00251B07" w:rsidRPr="00564002">
        <w:t>age</w:t>
      </w:r>
      <w:r w:rsidR="00CB609F" w:rsidRPr="00564002">
        <w:t xml:space="preserve"> </w:t>
      </w:r>
      <w:r w:rsidR="007F1C9B" w:rsidRPr="00564002">
        <w:t xml:space="preserve">is </w:t>
      </w:r>
      <w:r w:rsidR="00B11A58" w:rsidRPr="00564002">
        <w:t xml:space="preserve">necessary in modelling for </w:t>
      </w:r>
      <w:r w:rsidR="00C91351" w:rsidRPr="00564002">
        <w:t>dementia</w:t>
      </w:r>
      <w:r w:rsidR="00240E6D" w:rsidRPr="00564002">
        <w:t xml:space="preserve">, where the onset </w:t>
      </w:r>
      <w:r w:rsidR="00A74D7F" w:rsidRPr="00564002">
        <w:t xml:space="preserve">and death </w:t>
      </w:r>
      <w:r w:rsidR="000D02F5" w:rsidRPr="00564002">
        <w:t>increases with age [</w:t>
      </w:r>
      <w:r w:rsidR="00970034" w:rsidRPr="00564002">
        <w:t>4</w:t>
      </w:r>
      <w:r w:rsidR="000D02F5" w:rsidRPr="00564002">
        <w:t>].</w:t>
      </w:r>
      <w:r w:rsidR="00B11A58" w:rsidRPr="00564002">
        <w:t xml:space="preserve"> </w:t>
      </w:r>
      <w:r w:rsidR="008E676E" w:rsidRPr="00564002">
        <w:t xml:space="preserve">Our model is similar to </w:t>
      </w:r>
      <w:r w:rsidR="000276AF" w:rsidRPr="00564002">
        <w:t xml:space="preserve">the </w:t>
      </w:r>
      <w:r w:rsidR="00135A8F" w:rsidRPr="00564002">
        <w:t>IMPACT-BAM</w:t>
      </w:r>
      <w:r w:rsidR="00FC78D5" w:rsidRPr="00564002">
        <w:t xml:space="preserve"> </w:t>
      </w:r>
      <w:r w:rsidR="000276AF" w:rsidRPr="00564002">
        <w:t>model</w:t>
      </w:r>
      <w:r w:rsidR="009B6651" w:rsidRPr="00564002">
        <w:t xml:space="preserve"> </w:t>
      </w:r>
      <w:r w:rsidR="0090594E" w:rsidRPr="00564002">
        <w:t>that</w:t>
      </w:r>
      <w:r w:rsidR="00446B16" w:rsidRPr="00564002">
        <w:t xml:space="preserve"> combines longitudinal data an</w:t>
      </w:r>
      <w:r w:rsidR="00055ADB" w:rsidRPr="00564002">
        <w:t xml:space="preserve">d mortality </w:t>
      </w:r>
      <w:r w:rsidR="007B2468" w:rsidRPr="00564002">
        <w:t xml:space="preserve">projections </w:t>
      </w:r>
      <w:r w:rsidR="00DC46F4" w:rsidRPr="00564002">
        <w:t>for transition probabilities</w:t>
      </w:r>
      <w:r w:rsidR="002B41DB" w:rsidRPr="00564002">
        <w:t xml:space="preserve"> [</w:t>
      </w:r>
      <w:r w:rsidR="00970034" w:rsidRPr="00564002">
        <w:t>5</w:t>
      </w:r>
      <w:r w:rsidR="002B41DB" w:rsidRPr="00564002">
        <w:t xml:space="preserve">]. </w:t>
      </w:r>
    </w:p>
    <w:p w14:paraId="5C81A1D0" w14:textId="2F761FB3" w:rsidR="00625A19" w:rsidRPr="00564002" w:rsidRDefault="001C70DA">
      <w:r w:rsidRPr="00564002">
        <w:t xml:space="preserve">Dementia in our model </w:t>
      </w:r>
      <w:r w:rsidR="00340367" w:rsidRPr="00564002">
        <w:t>is split in five stages</w:t>
      </w:r>
      <w:r w:rsidR="00802022" w:rsidRPr="00564002">
        <w:t>; cognitively normal, mild, moderate, severe, and death.</w:t>
      </w:r>
      <w:r w:rsidR="00264AAC" w:rsidRPr="00564002">
        <w:t xml:space="preserve"> </w:t>
      </w:r>
      <w:r w:rsidR="005069E1" w:rsidRPr="00564002">
        <w:t>Individuals can die at any stage</w:t>
      </w:r>
      <w:r w:rsidR="00D06FCE" w:rsidRPr="00564002">
        <w:t xml:space="preserve"> of causes other than dementia. </w:t>
      </w:r>
      <w:r w:rsidR="00F053E2" w:rsidRPr="00564002">
        <w:t xml:space="preserve">State changes </w:t>
      </w:r>
      <w:r w:rsidR="005A3819" w:rsidRPr="00564002">
        <w:t xml:space="preserve">are simulated each year, with probabilities attached </w:t>
      </w:r>
      <w:r w:rsidR="00C81ABC" w:rsidRPr="00564002">
        <w:t xml:space="preserve">to </w:t>
      </w:r>
      <w:r w:rsidR="00D06FCE" w:rsidRPr="00564002">
        <w:t>individuals</w:t>
      </w:r>
      <w:r w:rsidR="00C81ABC" w:rsidRPr="00564002">
        <w:t xml:space="preserve"> with dementia to be treated at home, in an institution, or remain in current location. </w:t>
      </w:r>
      <w:r w:rsidR="00FF2576" w:rsidRPr="00564002">
        <w:t>It was assumed that all institutions are NHS</w:t>
      </w:r>
      <w:r w:rsidR="006134DA">
        <w:t>-funded</w:t>
      </w:r>
      <w:r w:rsidR="00FF2576" w:rsidRPr="00564002">
        <w:t xml:space="preserve">. </w:t>
      </w:r>
      <w:r w:rsidR="00207C52" w:rsidRPr="00564002">
        <w:t>Dementia was defined as all-cause dementia, referring to any type of dementia regardless of its cause, due to its use in epidemiological studies to capture the effects on the total dementia burden. This reflects the definition of dementia recorded by Primary Care Dementia Data collected by NHS England [</w:t>
      </w:r>
      <w:r w:rsidR="00970034" w:rsidRPr="00564002">
        <w:t>6</w:t>
      </w:r>
      <w:r w:rsidR="00207C52" w:rsidRPr="00564002">
        <w:t>]</w:t>
      </w:r>
      <w:r w:rsidR="00F55A7E">
        <w:t xml:space="preserve">. </w:t>
      </w:r>
      <w:r w:rsidR="00390CC1" w:rsidRPr="00564002">
        <w:t>The b</w:t>
      </w:r>
      <w:r w:rsidR="0002543F" w:rsidRPr="00564002">
        <w:t xml:space="preserve">aseline onset probability of dementia </w:t>
      </w:r>
      <w:r w:rsidR="003351A7" w:rsidRPr="00564002">
        <w:t xml:space="preserve">was </w:t>
      </w:r>
      <w:r w:rsidR="00903FA7" w:rsidRPr="00564002">
        <w:t>calculated</w:t>
      </w:r>
      <w:r w:rsidR="003351A7" w:rsidRPr="00564002">
        <w:t xml:space="preserve"> </w:t>
      </w:r>
      <w:r w:rsidR="00203699" w:rsidRPr="00564002">
        <w:t xml:space="preserve">using current dementia </w:t>
      </w:r>
      <w:r w:rsidR="00903FA7" w:rsidRPr="00564002">
        <w:t>incidence</w:t>
      </w:r>
      <w:r w:rsidR="00B057FE" w:rsidRPr="00564002">
        <w:t xml:space="preserve"> from NHS England data</w:t>
      </w:r>
      <w:r w:rsidR="00203699" w:rsidRPr="00564002">
        <w:t>.</w:t>
      </w:r>
      <w:r w:rsidR="00870A66" w:rsidRPr="00564002">
        <w:t xml:space="preserve"> </w:t>
      </w:r>
      <w:r w:rsidR="00BB011A">
        <w:t>New entrants accounting for the a</w:t>
      </w:r>
      <w:r w:rsidR="00727454">
        <w:t xml:space="preserve">ging population changes were </w:t>
      </w:r>
      <w:r w:rsidR="00064781">
        <w:t>calculated from ONS projections [7]</w:t>
      </w:r>
      <w:r w:rsidR="00727454">
        <w:t xml:space="preserve">. </w:t>
      </w:r>
      <w:r w:rsidR="00870A66" w:rsidRPr="00564002">
        <w:t>We calibrated our model</w:t>
      </w:r>
      <w:r w:rsidR="00AA48BC" w:rsidRPr="00564002">
        <w:t xml:space="preserve"> to</w:t>
      </w:r>
      <w:r w:rsidR="007079EB" w:rsidRPr="00564002">
        <w:t xml:space="preserve"> </w:t>
      </w:r>
      <w:r w:rsidR="00AA48BC" w:rsidRPr="00564002">
        <w:t>prevalence</w:t>
      </w:r>
      <w:r w:rsidR="00412BB1">
        <w:t>, population</w:t>
      </w:r>
      <w:r w:rsidR="00AA48BC" w:rsidRPr="00564002">
        <w:t xml:space="preserve"> and </w:t>
      </w:r>
      <w:r w:rsidR="00412BB1">
        <w:t xml:space="preserve">mortality </w:t>
      </w:r>
      <w:r w:rsidR="00AA48BC" w:rsidRPr="00564002">
        <w:t>data</w:t>
      </w:r>
      <w:r w:rsidR="003B1793" w:rsidRPr="00564002">
        <w:t xml:space="preserve"> </w:t>
      </w:r>
      <w:r w:rsidR="00412BB1">
        <w:t xml:space="preserve">for </w:t>
      </w:r>
      <w:r w:rsidR="00412BB1" w:rsidRPr="00564002">
        <w:t>2024</w:t>
      </w:r>
      <w:r w:rsidR="00412BB1">
        <w:t xml:space="preserve"> (</w:t>
      </w:r>
      <w:r w:rsidR="00274439">
        <w:t>supplementary information</w:t>
      </w:r>
      <w:r w:rsidR="003B1793" w:rsidRPr="00564002">
        <w:t xml:space="preserve"> pp.xx-xx)</w:t>
      </w:r>
      <w:r w:rsidR="00870A66" w:rsidRPr="00564002">
        <w:t>.</w:t>
      </w:r>
      <w:r w:rsidR="00331E6E">
        <w:t xml:space="preserve"> </w:t>
      </w:r>
    </w:p>
    <w:p w14:paraId="670DF2A9" w14:textId="05077BB9" w:rsidR="008E1998" w:rsidRPr="00564002" w:rsidRDefault="0079567A">
      <m:oMathPara>
        <m:oMath>
          <m:sSub>
            <m:sSubPr>
              <m:ctrlPr>
                <w:rPr>
                  <w:rFonts w:ascii="Cambria Math" w:hAnsi="Cambria Math"/>
                  <w:i/>
                </w:rPr>
              </m:ctrlPr>
            </m:sSubPr>
            <m:e>
              <m:r>
                <w:rPr>
                  <w:rFonts w:ascii="Cambria Math" w:hAnsi="Cambria Math"/>
                </w:rPr>
                <m:t>h</m:t>
              </m:r>
            </m:e>
            <m:sub>
              <m:r>
                <w:rPr>
                  <w:rFonts w:ascii="Cambria Math" w:hAnsi="Cambria Math"/>
                </w:rPr>
                <m:t>onset</m:t>
              </m:r>
            </m:sub>
          </m:sSub>
          <m:d>
            <m:dPr>
              <m:ctrlPr>
                <w:rPr>
                  <w:rFonts w:ascii="Cambria Math" w:hAnsi="Cambria Math"/>
                  <w:i/>
                </w:rPr>
              </m:ctrlPr>
            </m:dPr>
            <m:e>
              <m:r>
                <w:rPr>
                  <w:rFonts w:ascii="Cambria Math" w:hAnsi="Cambria Math"/>
                </w:rPr>
                <m:t>a</m:t>
              </m:r>
              <m:r>
                <w:rPr>
                  <w:rFonts w:ascii="Cambria Math" w:hAnsi="Cambria Math"/>
                </w:rPr>
                <m:t>,</m:t>
              </m:r>
              <m:r>
                <w:rPr>
                  <w:rFonts w:ascii="Cambria Math" w:hAnsi="Cambria Math"/>
                </w:rPr>
                <m:t>R</m:t>
              </m:r>
            </m:e>
          </m:d>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onset</m:t>
                      </m:r>
                    </m:sub>
                  </m:sSub>
                  <m:d>
                    <m:dPr>
                      <m:ctrlPr>
                        <w:rPr>
                          <w:rFonts w:ascii="Cambria Math" w:hAnsi="Cambria Math"/>
                          <w:i/>
                        </w:rPr>
                      </m:ctrlPr>
                    </m:dPr>
                    <m:e>
                      <m:r>
                        <w:rPr>
                          <w:rFonts w:ascii="Cambria Math" w:hAnsi="Cambria Math"/>
                        </w:rPr>
                        <m:t>a</m:t>
                      </m:r>
                      <m:r>
                        <w:rPr>
                          <w:rFonts w:ascii="Cambria Math" w:hAnsi="Cambria Math"/>
                        </w:rPr>
                        <m:t>-</m:t>
                      </m:r>
                      <m:r>
                        <w:rPr>
                          <w:rFonts w:ascii="Cambria Math" w:hAnsi="Cambria Math"/>
                        </w:rPr>
                        <m:t>re</m:t>
                      </m:r>
                      <m:sSub>
                        <m:sSubPr>
                          <m:ctrlPr>
                            <w:rPr>
                              <w:rFonts w:ascii="Cambria Math" w:hAnsi="Cambria Math"/>
                              <w:i/>
                            </w:rPr>
                          </m:ctrlPr>
                        </m:sSubPr>
                        <m:e>
                          <m:r>
                            <w:rPr>
                              <w:rFonts w:ascii="Cambria Math" w:hAnsi="Cambria Math"/>
                            </w:rPr>
                            <m:t>f</m:t>
                          </m:r>
                        </m:e>
                        <m:sub>
                          <m:r>
                            <w:rPr>
                              <w:rFonts w:ascii="Cambria Math" w:hAnsi="Cambria Math"/>
                            </w:rPr>
                            <m:t>age</m:t>
                          </m:r>
                        </m:sub>
                      </m:sSub>
                    </m:e>
                  </m:d>
                </m:e>
              </m:d>
            </m:e>
          </m:func>
          <m:r>
            <w:rPr>
              <w:rFonts w:ascii="Cambria Math" w:hAnsi="Cambria Math"/>
            </w:rPr>
            <m:t>*</m:t>
          </m:r>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k</m:t>
              </m:r>
              <m:r>
                <w:rPr>
                  <w:rFonts w:ascii="Cambria Math" w:hAnsi="Cambria Math"/>
                </w:rPr>
                <m:t>∈</m:t>
              </m:r>
              <m:r>
                <w:rPr>
                  <w:rFonts w:ascii="Cambria Math" w:hAnsi="Cambria Math"/>
                </w:rPr>
                <m:t>R</m:t>
              </m:r>
            </m:sub>
            <m:sup/>
            <m:e>
              <m:sSubSup>
                <m:sSubSupPr>
                  <m:ctrlPr>
                    <w:rPr>
                      <w:rFonts w:ascii="Cambria Math" w:hAnsi="Cambria Math"/>
                      <w:i/>
                    </w:rPr>
                  </m:ctrlPr>
                </m:sSubSupPr>
                <m:e>
                  <m:r>
                    <w:rPr>
                      <w:rFonts w:ascii="Cambria Math" w:hAnsi="Cambria Math"/>
                    </w:rPr>
                    <m:t>RR</m:t>
                  </m:r>
                </m:e>
                <m:sub>
                  <m:r>
                    <w:rPr>
                      <w:rFonts w:ascii="Cambria Math" w:hAnsi="Cambria Math"/>
                    </w:rPr>
                    <m:t>k</m:t>
                  </m:r>
                </m:sub>
                <m:sup>
                  <m:sSub>
                    <m:sSubPr>
                      <m:ctrlPr>
                        <w:rPr>
                          <w:rFonts w:ascii="Cambria Math" w:hAnsi="Cambria Math"/>
                          <w:i/>
                        </w:rPr>
                      </m:ctrlPr>
                    </m:sSubPr>
                    <m:e>
                      <m:r>
                        <w:rPr>
                          <w:rFonts w:ascii="Cambria Math" w:hAnsi="Cambria Math"/>
                        </w:rPr>
                        <m:t>w</m:t>
                      </m:r>
                    </m:e>
                    <m:sub>
                      <m:r>
                        <w:rPr>
                          <w:rFonts w:ascii="Cambria Math" w:hAnsi="Cambria Math"/>
                        </w:rPr>
                        <m:t>k</m:t>
                      </m:r>
                    </m:sub>
                  </m:sSub>
                </m:sup>
              </m:sSubSup>
            </m:e>
          </m:nary>
          <m:r>
            <w:rPr>
              <w:rFonts w:ascii="Cambria Math" w:hAnsi="Cambria Math"/>
            </w:rPr>
            <m:t xml:space="preserve"> </m:t>
          </m:r>
        </m:oMath>
      </m:oMathPara>
    </w:p>
    <w:p w14:paraId="6AD3F5B4" w14:textId="6EAA3D35" w:rsidR="008E1998" w:rsidRPr="00564002" w:rsidRDefault="000C048F">
      <w:r w:rsidRPr="00564002">
        <w:rPr>
          <w:b/>
          <w:bCs/>
        </w:rPr>
        <w:t xml:space="preserve">Equation 1 </w:t>
      </w:r>
      <w:r w:rsidR="00115579" w:rsidRPr="00564002">
        <w:t xml:space="preserve">Dementia onset formula </w:t>
      </w:r>
    </w:p>
    <w:p w14:paraId="35BF0CE6" w14:textId="05B00DCF" w:rsidR="00727006" w:rsidRPr="00564002" w:rsidRDefault="00727006">
      <w:r w:rsidRPr="00564002">
        <w:t>The mean time in each dementia stage has been collected from literature</w:t>
      </w:r>
      <w:r w:rsidR="00650B4C" w:rsidRPr="00564002">
        <w:t xml:space="preserve"> [</w:t>
      </w:r>
      <w:r w:rsidR="00970034" w:rsidRPr="00564002">
        <w:t>7</w:t>
      </w:r>
      <w:r w:rsidR="00650B4C" w:rsidRPr="00564002">
        <w:t>].</w:t>
      </w:r>
      <w:r w:rsidR="00E15003" w:rsidRPr="00564002">
        <w:t xml:space="preserve"> </w:t>
      </w:r>
      <w:r w:rsidR="00BE5F54" w:rsidRPr="00564002">
        <w:t>This provides a constant hazard</w:t>
      </w:r>
      <w:r w:rsidR="00FF34B5" w:rsidRPr="00564002">
        <w:t xml:space="preserve"> for </w:t>
      </w:r>
      <w:r w:rsidR="002B7EE2" w:rsidRPr="00564002">
        <w:t>the effect</w:t>
      </w:r>
      <w:r w:rsidR="00A144FC" w:rsidRPr="00564002">
        <w:t xml:space="preserve"> that</w:t>
      </w:r>
      <w:r w:rsidR="002B7EE2" w:rsidRPr="00564002">
        <w:t xml:space="preserve"> time in </w:t>
      </w:r>
      <w:r w:rsidR="00E37B24" w:rsidRPr="00564002">
        <w:t xml:space="preserve">a </w:t>
      </w:r>
      <w:r w:rsidR="002B7EE2" w:rsidRPr="00564002">
        <w:t>dementia stage has</w:t>
      </w:r>
      <w:r w:rsidR="00FF34B5" w:rsidRPr="00564002">
        <w:t xml:space="preserve"> on disease progression</w:t>
      </w:r>
      <w:r w:rsidR="00020564" w:rsidRPr="00564002">
        <w:t>.</w:t>
      </w:r>
      <w:r w:rsidR="00FF34B5" w:rsidRPr="00564002">
        <w:t xml:space="preserve"> We used </w:t>
      </w:r>
      <w:r w:rsidR="00B635C5" w:rsidRPr="00564002">
        <w:t xml:space="preserve">a parametric proportional hazards age effect to </w:t>
      </w:r>
      <w:r w:rsidR="00463E8A" w:rsidRPr="00564002">
        <w:t>scale</w:t>
      </w:r>
      <w:r w:rsidR="002B7EE2" w:rsidRPr="00564002">
        <w:t xml:space="preserve"> the increasing effects </w:t>
      </w:r>
      <w:r w:rsidR="00AD6742" w:rsidRPr="00564002">
        <w:t>that age has on dementia onset</w:t>
      </w:r>
      <w:r w:rsidR="009942AB" w:rsidRPr="00564002">
        <w:t xml:space="preserve">. </w:t>
      </w:r>
      <w:r w:rsidR="005C48A2" w:rsidRPr="00564002">
        <w:t xml:space="preserve">This </w:t>
      </w:r>
      <w:r w:rsidR="002F57E4" w:rsidRPr="00564002">
        <w:t xml:space="preserve">provides </w:t>
      </w:r>
      <w:r w:rsidR="005C48A2" w:rsidRPr="00564002">
        <w:t>a continuous increase in risk with age rather than discrete banding</w:t>
      </w:r>
      <w:r w:rsidR="0065425C" w:rsidRPr="00564002">
        <w:t xml:space="preserve">, as seen in longitudinal studies of dementia </w:t>
      </w:r>
      <w:r w:rsidR="00AD13B1" w:rsidRPr="00564002">
        <w:t>incidence</w:t>
      </w:r>
      <w:r w:rsidR="0065425C" w:rsidRPr="00564002">
        <w:t xml:space="preserve"> [8</w:t>
      </w:r>
      <w:r w:rsidR="00A872A3" w:rsidRPr="00564002">
        <w:t>,9</w:t>
      </w:r>
      <w:r w:rsidR="0065425C" w:rsidRPr="00564002">
        <w:t>]</w:t>
      </w:r>
      <w:r w:rsidR="005C48A2" w:rsidRPr="00564002">
        <w:t xml:space="preserve">. </w:t>
      </w:r>
      <w:r w:rsidR="007C76CD" w:rsidRPr="00564002">
        <w:t>We calculated</w:t>
      </w:r>
      <w:r w:rsidR="00854E01" w:rsidRPr="00564002">
        <w:t xml:space="preserve"> the</w:t>
      </w:r>
      <w:r w:rsidR="007C76CD" w:rsidRPr="00564002">
        <w:t xml:space="preserve"> </w:t>
      </w:r>
      <w:r w:rsidR="00854E01" w:rsidRPr="00564002">
        <w:t xml:space="preserve">relevant β’s for </w:t>
      </w:r>
      <w:r w:rsidR="00D82E9F" w:rsidRPr="00564002">
        <w:t xml:space="preserve">the per-year log-hazard slope increase of </w:t>
      </w:r>
      <w:r w:rsidR="00331E6E">
        <w:t>stage</w:t>
      </w:r>
      <w:r w:rsidR="00D82E9F" w:rsidRPr="00564002">
        <w:t xml:space="preserve"> transitions </w:t>
      </w:r>
      <w:r w:rsidR="00080F5F" w:rsidRPr="00564002">
        <w:t>[</w:t>
      </w:r>
      <w:r w:rsidR="00A872A3" w:rsidRPr="00564002">
        <w:t>10</w:t>
      </w:r>
      <w:r w:rsidR="00080F5F" w:rsidRPr="00564002">
        <w:t>,</w:t>
      </w:r>
      <w:r w:rsidR="0065425C" w:rsidRPr="00564002">
        <w:t>1</w:t>
      </w:r>
      <w:r w:rsidR="00A872A3" w:rsidRPr="00564002">
        <w:t>1</w:t>
      </w:r>
      <w:r w:rsidR="00080F5F" w:rsidRPr="00564002">
        <w:t>,1</w:t>
      </w:r>
      <w:r w:rsidR="00A872A3" w:rsidRPr="00564002">
        <w:t>2</w:t>
      </w:r>
      <w:r w:rsidR="00080F5F" w:rsidRPr="00564002">
        <w:t>].</w:t>
      </w:r>
      <w:r w:rsidR="004B71F1" w:rsidRPr="00564002">
        <w:t xml:space="preserve"> </w:t>
      </w:r>
      <w:r w:rsidR="00C477A3" w:rsidRPr="00564002">
        <w:t xml:space="preserve">The risk factor effects are then </w:t>
      </w:r>
      <w:r w:rsidR="001E6924" w:rsidRPr="00564002">
        <w:t>applied</w:t>
      </w:r>
      <w:r w:rsidR="00AA02A1" w:rsidRPr="00564002">
        <w:t xml:space="preserve"> to each individual </w:t>
      </w:r>
      <w:r w:rsidR="0089036C" w:rsidRPr="00564002">
        <w:t>specific transition, depending on where they are in the model</w:t>
      </w:r>
      <w:r w:rsidR="001329C9" w:rsidRPr="00564002">
        <w:t xml:space="preserve"> and what risk factors that have</w:t>
      </w:r>
      <w:r w:rsidR="0089036C" w:rsidRPr="00564002">
        <w:t xml:space="preserve">. </w:t>
      </w:r>
      <w:r w:rsidR="00954405">
        <w:t xml:space="preserve"> </w:t>
      </w:r>
      <w:r w:rsidR="00636C65">
        <w:t>Equation 1 sho</w:t>
      </w:r>
      <w:r w:rsidR="002C001E">
        <w:t xml:space="preserve">ws how onset probability is calculated for each individual. </w:t>
      </w:r>
      <w:r w:rsidR="00E159E7">
        <w:t xml:space="preserve">We applied a uniform 2% annual inflation to the </w:t>
      </w:r>
      <w:r w:rsidR="002C0C34">
        <w:t xml:space="preserve">baseline onset hazard to </w:t>
      </w:r>
      <w:r w:rsidR="00032F18">
        <w:lastRenderedPageBreak/>
        <w:t>align projections with observed</w:t>
      </w:r>
      <w:r w:rsidR="00B45E4F">
        <w:t xml:space="preserve"> and projected</w:t>
      </w:r>
      <w:r w:rsidR="00032F18">
        <w:t xml:space="preserve"> macro</w:t>
      </w:r>
      <w:r w:rsidR="00B45E4F">
        <w:t xml:space="preserve"> incidence</w:t>
      </w:r>
      <w:r w:rsidR="00E159E7">
        <w:t xml:space="preserve"> trends</w:t>
      </w:r>
      <w:r w:rsidR="00B45E4F">
        <w:t xml:space="preserve"> [13]</w:t>
      </w:r>
      <w:r w:rsidR="002C0C34">
        <w:t>. The multiplier is applied before age and risk-factor adjustments</w:t>
      </w:r>
      <w:r w:rsidR="00D557ED">
        <w:t>, so relative risks remain unchanged. Only the overall level shifts to reflect population-wide drivers such as demographic momentum and diagnostic i</w:t>
      </w:r>
      <w:r w:rsidR="00DC72A9">
        <w:t>mprovements.</w:t>
      </w:r>
      <w:r w:rsidR="00B45E4F">
        <w:t xml:space="preserve"> </w:t>
      </w:r>
      <w:r w:rsidR="00C97C87" w:rsidRPr="00564002">
        <w:t>Full details of</w:t>
      </w:r>
      <w:r w:rsidR="00DC3F94" w:rsidRPr="00564002">
        <w:t xml:space="preserve"> our model </w:t>
      </w:r>
      <w:r w:rsidR="00966EE3" w:rsidRPr="00564002">
        <w:t xml:space="preserve">mechanisms </w:t>
      </w:r>
      <w:r w:rsidR="00DC3F94" w:rsidRPr="00564002">
        <w:t xml:space="preserve">are provided in the </w:t>
      </w:r>
      <w:r w:rsidR="00274439">
        <w:t>supplementary information</w:t>
      </w:r>
      <w:r w:rsidR="00213293" w:rsidRPr="00564002">
        <w:t xml:space="preserve"> (pp.</w:t>
      </w:r>
      <w:r w:rsidR="00242C0F" w:rsidRPr="00564002">
        <w:t>x-x)</w:t>
      </w:r>
      <w:r w:rsidR="00DC3F94" w:rsidRPr="00564002">
        <w:t xml:space="preserve">. </w:t>
      </w:r>
    </w:p>
    <w:p w14:paraId="457ACA88" w14:textId="77777777" w:rsidR="00937481" w:rsidRPr="00564002" w:rsidRDefault="00937481"/>
    <w:p w14:paraId="1A174828" w14:textId="1ABB801B" w:rsidR="00AB3D2B" w:rsidRPr="00564002" w:rsidRDefault="00582245">
      <w:pPr>
        <w:rPr>
          <w:b/>
          <w:bCs/>
        </w:rPr>
      </w:pPr>
      <w:r w:rsidRPr="00564002">
        <w:rPr>
          <w:b/>
          <w:bCs/>
        </w:rPr>
        <w:t>Risk factors</w:t>
      </w:r>
    </w:p>
    <w:p w14:paraId="30DDB695" w14:textId="62035460" w:rsidR="0057451C" w:rsidRPr="00564002" w:rsidRDefault="009542FD">
      <w:r w:rsidRPr="00564002">
        <w:t xml:space="preserve">Accurate dementia projections </w:t>
      </w:r>
      <w:r w:rsidR="00915F6C" w:rsidRPr="00564002">
        <w:t xml:space="preserve">need to account for changes in incidence </w:t>
      </w:r>
      <w:r w:rsidR="00EE18A3" w:rsidRPr="00564002">
        <w:t>and</w:t>
      </w:r>
      <w:r w:rsidR="006134DA">
        <w:t xml:space="preserve"> </w:t>
      </w:r>
      <w:r w:rsidR="00DD1836" w:rsidRPr="00564002">
        <w:t>competing</w:t>
      </w:r>
      <w:r w:rsidR="00EE18A3" w:rsidRPr="00564002">
        <w:t xml:space="preserve"> risk</w:t>
      </w:r>
      <w:r w:rsidR="006134DA">
        <w:t xml:space="preserve">s </w:t>
      </w:r>
      <w:r w:rsidR="00EE18A3" w:rsidRPr="00564002">
        <w:t>over an individual’s lifetime</w:t>
      </w:r>
      <w:r w:rsidR="00DD1836" w:rsidRPr="00564002">
        <w:t xml:space="preserve"> [1</w:t>
      </w:r>
      <w:r w:rsidR="00B45E4F">
        <w:t>4</w:t>
      </w:r>
      <w:r w:rsidR="00DD1836" w:rsidRPr="00564002">
        <w:t>].</w:t>
      </w:r>
      <w:r w:rsidR="00EE18A3" w:rsidRPr="00564002">
        <w:t xml:space="preserve"> </w:t>
      </w:r>
      <w:r w:rsidR="00B6702B" w:rsidRPr="00564002">
        <w:t>In this model, r</w:t>
      </w:r>
      <w:r w:rsidR="00822476" w:rsidRPr="00564002">
        <w:t xml:space="preserve">isk factors </w:t>
      </w:r>
      <w:r w:rsidR="00B6702B" w:rsidRPr="00564002">
        <w:t xml:space="preserve">interact with dementia onset and </w:t>
      </w:r>
      <w:r w:rsidR="00DB5293">
        <w:t>the probability of death in the severe stage</w:t>
      </w:r>
      <w:r w:rsidR="00B6702B" w:rsidRPr="00564002">
        <w:t xml:space="preserve">. </w:t>
      </w:r>
      <w:r w:rsidR="00CC796A" w:rsidRPr="00564002">
        <w:t>Only the time spen</w:t>
      </w:r>
      <w:r w:rsidR="00160B04" w:rsidRPr="00564002">
        <w:t>t</w:t>
      </w:r>
      <w:r w:rsidR="00CC796A" w:rsidRPr="00564002">
        <w:t xml:space="preserve"> in dementia stages </w:t>
      </w:r>
      <w:r w:rsidR="003A61C5" w:rsidRPr="00564002">
        <w:t xml:space="preserve">effects the progression through stages. </w:t>
      </w:r>
      <w:r w:rsidR="00B842FA" w:rsidRPr="00564002">
        <w:t xml:space="preserve">We used HRs from literature to build risk factor interaction terms, split by sex </w:t>
      </w:r>
      <w:r w:rsidR="00935EF8" w:rsidRPr="00564002">
        <w:t>where available</w:t>
      </w:r>
      <w:r w:rsidR="00B842FA" w:rsidRPr="00564002">
        <w:t>.</w:t>
      </w:r>
      <w:r w:rsidR="00400074" w:rsidRPr="00564002">
        <w:t xml:space="preserve"> </w:t>
      </w:r>
      <w:r w:rsidR="00540278" w:rsidRPr="00564002">
        <w:t xml:space="preserve">These selected risk factors were chosen </w:t>
      </w:r>
      <w:r w:rsidR="000639CD" w:rsidRPr="00564002">
        <w:t xml:space="preserve">due to the available evidence linking them to increased dementia risk, while together representing the major preventable </w:t>
      </w:r>
      <w:r w:rsidR="0027423D" w:rsidRPr="00564002">
        <w:t>factors of dementia inciden</w:t>
      </w:r>
      <w:r w:rsidR="002F56B2">
        <w:t>ce</w:t>
      </w:r>
      <w:r w:rsidR="0027423D" w:rsidRPr="00564002">
        <w:t>.</w:t>
      </w:r>
      <w:r w:rsidR="00804427" w:rsidRPr="00564002">
        <w:t xml:space="preserve"> </w:t>
      </w:r>
      <w:r w:rsidR="00DC6416" w:rsidRPr="00564002">
        <w:t>Prevalence and relative risk</w:t>
      </w:r>
      <w:r w:rsidR="00DE426F" w:rsidRPr="00564002">
        <w:t xml:space="preserve"> </w:t>
      </w:r>
      <w:r w:rsidR="00286BA0" w:rsidRPr="00564002">
        <w:t xml:space="preserve">were held </w:t>
      </w:r>
      <w:r w:rsidR="00AC4ADD">
        <w:t>constant</w:t>
      </w:r>
      <w:r w:rsidR="002D6871" w:rsidRPr="00564002">
        <w:t>, with only PD prevalence changing.</w:t>
      </w:r>
      <w:r w:rsidR="00A34DB2" w:rsidRPr="00564002">
        <w:t xml:space="preserve"> </w:t>
      </w:r>
    </w:p>
    <w:p w14:paraId="6DE17AD7" w14:textId="16769971" w:rsidR="002D6871" w:rsidRPr="00564002" w:rsidRDefault="00575062">
      <w:r w:rsidRPr="00564002">
        <w:t>The prevalence of PD in England was set as 50%</w:t>
      </w:r>
      <w:r w:rsidR="00DC6416" w:rsidRPr="00564002">
        <w:t xml:space="preserve"> in our baseline model, based on NHS Dental estimates [</w:t>
      </w:r>
      <w:r w:rsidR="0086458C" w:rsidRPr="00564002">
        <w:t>1</w:t>
      </w:r>
      <w:r w:rsidR="00B45E4F">
        <w:t>5</w:t>
      </w:r>
      <w:r w:rsidR="0086458C" w:rsidRPr="00564002">
        <w:t xml:space="preserve">]. </w:t>
      </w:r>
      <w:r w:rsidR="005C50B8" w:rsidRPr="00564002">
        <w:t xml:space="preserve">Dementia onset probability </w:t>
      </w:r>
      <w:r w:rsidR="00F34CD7" w:rsidRPr="00564002">
        <w:t xml:space="preserve">and death resulting from PD was sourced from </w:t>
      </w:r>
      <w:r w:rsidR="00351513" w:rsidRPr="00564002">
        <w:t xml:space="preserve">large national </w:t>
      </w:r>
      <w:r w:rsidR="000B454B" w:rsidRPr="00564002">
        <w:t>studies calculating risk of inc</w:t>
      </w:r>
      <w:r w:rsidR="00D93D06" w:rsidRPr="00564002">
        <w:t>ident dementia and death</w:t>
      </w:r>
      <w:r w:rsidR="005956A3" w:rsidRPr="00564002">
        <w:t xml:space="preserve"> [</w:t>
      </w:r>
      <w:r w:rsidR="00351513" w:rsidRPr="00564002">
        <w:t>1</w:t>
      </w:r>
      <w:r w:rsidR="00B45E4F">
        <w:t>6</w:t>
      </w:r>
      <w:r w:rsidR="00351513" w:rsidRPr="00564002">
        <w:t>,1</w:t>
      </w:r>
      <w:r w:rsidR="00B45E4F">
        <w:t>7</w:t>
      </w:r>
      <w:r w:rsidR="00351513" w:rsidRPr="00564002">
        <w:t xml:space="preserve">]. </w:t>
      </w:r>
      <w:r w:rsidR="00B325FE" w:rsidRPr="00564002">
        <w:t>The a</w:t>
      </w:r>
      <w:r w:rsidR="00020195" w:rsidRPr="00564002">
        <w:t xml:space="preserve">lternative runs </w:t>
      </w:r>
      <w:r w:rsidR="00B325FE" w:rsidRPr="00564002">
        <w:t xml:space="preserve">featured a PD prevalence of 25% and 75%, with risk of onset and death being held constant </w:t>
      </w:r>
      <w:r w:rsidR="000020A2" w:rsidRPr="00564002">
        <w:t>due to the scope of our study.</w:t>
      </w:r>
    </w:p>
    <w:p w14:paraId="7C788E03" w14:textId="6E2CFB7F" w:rsidR="00623457" w:rsidRPr="00564002" w:rsidRDefault="00B65B57">
      <w:r>
        <w:t xml:space="preserve">The model </w:t>
      </w:r>
      <w:r w:rsidR="00966ECA">
        <w:t>included</w:t>
      </w:r>
      <w:r>
        <w:t xml:space="preserve"> s</w:t>
      </w:r>
      <w:r w:rsidR="00731709" w:rsidRPr="00564002">
        <w:t xml:space="preserve">moking </w:t>
      </w:r>
      <w:r w:rsidR="00076A8B" w:rsidRPr="00564002">
        <w:t>status</w:t>
      </w:r>
      <w:r w:rsidR="00020195" w:rsidRPr="00564002">
        <w:t>, diabetes</w:t>
      </w:r>
      <w:r w:rsidR="00C00E7D" w:rsidRPr="00564002">
        <w:t xml:space="preserve">, cerebrovascular disease and cardiovascular disease as </w:t>
      </w:r>
      <w:r w:rsidR="00974F2D" w:rsidRPr="00564002">
        <w:t>risk factors</w:t>
      </w:r>
      <w:r w:rsidR="00AE343A" w:rsidRPr="00564002">
        <w:t>.</w:t>
      </w:r>
      <w:r w:rsidR="00DF11F3" w:rsidRPr="00564002">
        <w:t xml:space="preserve"> </w:t>
      </w:r>
      <w:r w:rsidR="00AE343A" w:rsidRPr="00564002">
        <w:t xml:space="preserve">Whether an individual smokes, or has a history of smoking, is an established risk factor for dementia </w:t>
      </w:r>
      <w:r w:rsidR="00E814B3" w:rsidRPr="00564002">
        <w:t>[1</w:t>
      </w:r>
      <w:r w:rsidR="00B45E4F">
        <w:t>8</w:t>
      </w:r>
      <w:r w:rsidR="00701B10" w:rsidRPr="00564002">
        <w:t>,1</w:t>
      </w:r>
      <w:r w:rsidR="00B45E4F">
        <w:t>9</w:t>
      </w:r>
      <w:r w:rsidR="00E814B3" w:rsidRPr="00564002">
        <w:t xml:space="preserve">]. </w:t>
      </w:r>
      <w:r w:rsidR="002475A2" w:rsidRPr="00564002">
        <w:t xml:space="preserve">Sex differences </w:t>
      </w:r>
      <w:r w:rsidR="008330D4" w:rsidRPr="00564002">
        <w:t xml:space="preserve">in related onset have been </w:t>
      </w:r>
      <w:r w:rsidR="00623457" w:rsidRPr="00564002">
        <w:t>explored</w:t>
      </w:r>
      <w:r w:rsidR="008330D4" w:rsidRPr="00564002">
        <w:t>, which is reflected in our model</w:t>
      </w:r>
      <w:r w:rsidR="00623457" w:rsidRPr="00564002">
        <w:t xml:space="preserve"> parameters </w:t>
      </w:r>
      <w:r w:rsidR="008330D4" w:rsidRPr="00564002">
        <w:t>[</w:t>
      </w:r>
      <w:r w:rsidR="00B45E4F">
        <w:t>20</w:t>
      </w:r>
      <w:r w:rsidR="00144B34" w:rsidRPr="00564002">
        <w:t>]</w:t>
      </w:r>
      <w:r w:rsidR="00DB6EE4" w:rsidRPr="00564002">
        <w:t xml:space="preserve">. </w:t>
      </w:r>
      <w:r w:rsidR="0055108A" w:rsidRPr="00564002">
        <w:t xml:space="preserve">Longitudinal studies have </w:t>
      </w:r>
      <w:r w:rsidR="00C00D48" w:rsidRPr="00564002">
        <w:t>demonstrated Type 2 diabetes as a risk factor for dementia</w:t>
      </w:r>
      <w:r w:rsidR="00D2065C" w:rsidRPr="00564002">
        <w:t xml:space="preserve">, linking </w:t>
      </w:r>
      <w:r w:rsidR="009B3D8F" w:rsidRPr="00564002">
        <w:t xml:space="preserve">chronic </w:t>
      </w:r>
      <w:r w:rsidR="00407587" w:rsidRPr="00564002">
        <w:t>hyperglycaemia</w:t>
      </w:r>
      <w:r w:rsidR="009B3D8F" w:rsidRPr="00564002">
        <w:t xml:space="preserve"> to damaged blood vessels in the brain and systemic inflammation and oxidative stress [2</w:t>
      </w:r>
      <w:r w:rsidR="00B45E4F">
        <w:t>1</w:t>
      </w:r>
      <w:r w:rsidR="009B3D8F" w:rsidRPr="00564002">
        <w:t>,2</w:t>
      </w:r>
      <w:r w:rsidR="00B45E4F">
        <w:t>2</w:t>
      </w:r>
      <w:r w:rsidR="009B3D8F" w:rsidRPr="00564002">
        <w:t>].</w:t>
      </w:r>
      <w:r w:rsidR="000A333D" w:rsidRPr="00564002">
        <w:t xml:space="preserve"> </w:t>
      </w:r>
      <w:r w:rsidR="009D5CA7" w:rsidRPr="00564002">
        <w:t xml:space="preserve">We used diabetes as a proxy for obesity related-risk </w:t>
      </w:r>
      <w:r w:rsidR="0037795F" w:rsidRPr="00564002">
        <w:t xml:space="preserve">as the </w:t>
      </w:r>
      <w:r w:rsidR="00D21951" w:rsidRPr="00564002">
        <w:t>metabolic syndrome mechanisms are significantly associated with increased dementia risk</w:t>
      </w:r>
      <w:r w:rsidR="002139CE" w:rsidRPr="00564002">
        <w:t>, whereas obesity individually has a minor independent effect</w:t>
      </w:r>
      <w:r w:rsidR="00AF54F4" w:rsidRPr="00564002">
        <w:t xml:space="preserve"> on dementia risk or death [2</w:t>
      </w:r>
      <w:r w:rsidR="00B45E4F">
        <w:t>3</w:t>
      </w:r>
      <w:r w:rsidR="00AF54F4" w:rsidRPr="00564002">
        <w:t>].</w:t>
      </w:r>
      <w:r w:rsidR="00D21951" w:rsidRPr="00564002">
        <w:t xml:space="preserve"> </w:t>
      </w:r>
      <w:r w:rsidR="00B01012" w:rsidRPr="00564002">
        <w:t>We chose stroke</w:t>
      </w:r>
      <w:r w:rsidR="007B4FB4" w:rsidRPr="00564002">
        <w:t xml:space="preserve"> and heart failure as the specific cerebrovascular and cardiovascular diseases to model, respectively. </w:t>
      </w:r>
      <w:r w:rsidR="000520C2" w:rsidRPr="00564002">
        <w:t xml:space="preserve">Strokes cause brain tissue damage </w:t>
      </w:r>
      <w:r w:rsidR="00B544A2" w:rsidRPr="00564002">
        <w:t>due to interrupted blood flow</w:t>
      </w:r>
      <w:r w:rsidR="00E060D8" w:rsidRPr="00564002">
        <w:t xml:space="preserve">, with strong evidence </w:t>
      </w:r>
      <w:r w:rsidR="005A010C" w:rsidRPr="00564002">
        <w:t xml:space="preserve">suggesting </w:t>
      </w:r>
      <w:r w:rsidR="00C6497E" w:rsidRPr="00564002">
        <w:t>those with prior stroke are at a heightened risk of dementia onset [2</w:t>
      </w:r>
      <w:r w:rsidR="00B45E4F">
        <w:t>4</w:t>
      </w:r>
      <w:r w:rsidR="00C6497E" w:rsidRPr="00564002">
        <w:t>].</w:t>
      </w:r>
      <w:r w:rsidR="00E060D8" w:rsidRPr="00564002">
        <w:t xml:space="preserve"> </w:t>
      </w:r>
      <w:r w:rsidR="00A12ADC" w:rsidRPr="00564002">
        <w:t xml:space="preserve">Heart failure </w:t>
      </w:r>
      <w:r w:rsidR="00736447" w:rsidRPr="00564002">
        <w:t xml:space="preserve">was chosen as a representative risk factor </w:t>
      </w:r>
      <w:r w:rsidR="00431076" w:rsidRPr="00564002">
        <w:t>as it captures the contribution of cardiac disfunction to dementia onset and death</w:t>
      </w:r>
      <w:r w:rsidR="00F1220A" w:rsidRPr="00564002">
        <w:t xml:space="preserve"> [</w:t>
      </w:r>
      <w:r w:rsidR="00920807" w:rsidRPr="00564002">
        <w:t>1</w:t>
      </w:r>
      <w:r w:rsidR="00B45E4F">
        <w:t>8</w:t>
      </w:r>
      <w:r w:rsidR="00F1220A" w:rsidRPr="00564002">
        <w:t>].</w:t>
      </w:r>
      <w:r w:rsidR="00920807" w:rsidRPr="00564002">
        <w:t xml:space="preserve"> Prevalence data for each was obtained through </w:t>
      </w:r>
      <w:r w:rsidR="00C712C5" w:rsidRPr="00564002">
        <w:t>national survey sources [2</w:t>
      </w:r>
      <w:r w:rsidR="00B45E4F">
        <w:t>5</w:t>
      </w:r>
      <w:r w:rsidR="00C712C5" w:rsidRPr="00564002">
        <w:t>,2</w:t>
      </w:r>
      <w:r w:rsidR="00B45E4F">
        <w:t>6</w:t>
      </w:r>
      <w:r w:rsidR="00C712C5" w:rsidRPr="00564002">
        <w:t>,2</w:t>
      </w:r>
      <w:r w:rsidR="00B45E4F">
        <w:t>7</w:t>
      </w:r>
      <w:r w:rsidR="00C712C5" w:rsidRPr="00564002">
        <w:t>].</w:t>
      </w:r>
      <w:r w:rsidR="000D00C0">
        <w:t xml:space="preserve"> </w:t>
      </w:r>
    </w:p>
    <w:p w14:paraId="30622DE0" w14:textId="62D4B9BE" w:rsidR="0027423D" w:rsidRPr="00564002" w:rsidRDefault="0027423D">
      <w:r w:rsidRPr="00564002">
        <w:lastRenderedPageBreak/>
        <w:t xml:space="preserve">This </w:t>
      </w:r>
      <w:r w:rsidR="00F328B2" w:rsidRPr="00564002">
        <w:t xml:space="preserve">risk </w:t>
      </w:r>
      <w:r w:rsidRPr="00564002">
        <w:t>set</w:t>
      </w:r>
      <w:r w:rsidR="000D03D6" w:rsidRPr="00564002">
        <w:t xml:space="preserve"> </w:t>
      </w:r>
      <w:r w:rsidR="00357227" w:rsidRPr="00564002">
        <w:t xml:space="preserve">captures the vascular, lifestyle and inflammatory pathways that </w:t>
      </w:r>
      <w:r w:rsidR="00C14B45" w:rsidRPr="00564002">
        <w:t xml:space="preserve">influence cognitive decline. </w:t>
      </w:r>
      <w:r w:rsidR="00966ECA">
        <w:t>Risk</w:t>
      </w:r>
      <w:r w:rsidR="001F4551" w:rsidRPr="00564002">
        <w:t xml:space="preserve"> factors </w:t>
      </w:r>
      <w:r w:rsidR="004029A6" w:rsidRPr="00564002">
        <w:t>remain constant</w:t>
      </w:r>
      <w:r w:rsidR="00F31D35" w:rsidRPr="00564002">
        <w:t xml:space="preserve"> from an </w:t>
      </w:r>
      <w:r w:rsidR="00522886" w:rsidRPr="00564002">
        <w:t>individual’s</w:t>
      </w:r>
      <w:r w:rsidR="00F31D35" w:rsidRPr="00564002">
        <w:t xml:space="preserve"> </w:t>
      </w:r>
      <w:r w:rsidR="004029A6" w:rsidRPr="00564002">
        <w:t>entry into the model.</w:t>
      </w:r>
      <w:r w:rsidR="00024A84" w:rsidRPr="00564002">
        <w:t xml:space="preserve"> Full</w:t>
      </w:r>
      <w:r w:rsidR="002F5857" w:rsidRPr="00564002">
        <w:t xml:space="preserve"> HR values can be found in the </w:t>
      </w:r>
      <w:r w:rsidR="00EB1750">
        <w:t>supplementary information</w:t>
      </w:r>
      <w:r w:rsidR="002F5857" w:rsidRPr="00564002">
        <w:t xml:space="preserve"> (pp.xx-xx).</w:t>
      </w:r>
    </w:p>
    <w:p w14:paraId="3FD49CB3" w14:textId="77777777" w:rsidR="008E1844" w:rsidRPr="00564002" w:rsidRDefault="008E1844"/>
    <w:p w14:paraId="236BD4A5" w14:textId="77777777" w:rsidR="00B03810" w:rsidRPr="00564002" w:rsidRDefault="00B03810">
      <w:pPr>
        <w:rPr>
          <w:b/>
          <w:bCs/>
        </w:rPr>
      </w:pPr>
      <w:r w:rsidRPr="00564002">
        <w:rPr>
          <w:b/>
          <w:bCs/>
        </w:rPr>
        <w:t>Estimation of c</w:t>
      </w:r>
      <w:r w:rsidR="00966EE3" w:rsidRPr="00564002">
        <w:rPr>
          <w:b/>
          <w:bCs/>
        </w:rPr>
        <w:t>ost</w:t>
      </w:r>
      <w:r w:rsidRPr="00564002">
        <w:rPr>
          <w:b/>
          <w:bCs/>
        </w:rPr>
        <w:t>s</w:t>
      </w:r>
      <w:r w:rsidR="00966EE3" w:rsidRPr="00564002">
        <w:rPr>
          <w:b/>
          <w:bCs/>
        </w:rPr>
        <w:t xml:space="preserve"> and QALY</w:t>
      </w:r>
      <w:r w:rsidRPr="00564002">
        <w:rPr>
          <w:b/>
          <w:bCs/>
        </w:rPr>
        <w:t>s</w:t>
      </w:r>
    </w:p>
    <w:p w14:paraId="0D6AC5F1" w14:textId="74BC7ABB" w:rsidR="0008260F" w:rsidRPr="00564002" w:rsidRDefault="00682C77">
      <w:r w:rsidRPr="00564002">
        <w:t xml:space="preserve">We estimated </w:t>
      </w:r>
      <w:r w:rsidR="006B177F" w:rsidRPr="00564002">
        <w:t xml:space="preserve">the </w:t>
      </w:r>
      <w:r w:rsidR="00BF63D3" w:rsidRPr="00564002">
        <w:t xml:space="preserve">economic </w:t>
      </w:r>
      <w:r w:rsidR="006B177F" w:rsidRPr="00564002">
        <w:t xml:space="preserve">costs of </w:t>
      </w:r>
      <w:r w:rsidRPr="00564002">
        <w:t>dementia</w:t>
      </w:r>
      <w:r w:rsidR="006B177F" w:rsidRPr="00564002">
        <w:t xml:space="preserve"> for the NHS and informal caregivers. Costing data was sourced from a 2024 </w:t>
      </w:r>
      <w:r w:rsidR="00DC165E" w:rsidRPr="00564002">
        <w:t>report on dementia and deflated down to 2023 prices [</w:t>
      </w:r>
      <w:r w:rsidR="00144B34" w:rsidRPr="00564002">
        <w:t>2</w:t>
      </w:r>
      <w:r w:rsidR="00B45E4F">
        <w:t>8</w:t>
      </w:r>
      <w:r w:rsidR="00B81E63" w:rsidRPr="00564002">
        <w:t xml:space="preserve">, </w:t>
      </w:r>
      <w:r w:rsidR="00701B10" w:rsidRPr="00564002">
        <w:t>2</w:t>
      </w:r>
      <w:r w:rsidR="00B45E4F">
        <w:t>9</w:t>
      </w:r>
      <w:r w:rsidR="00DC165E" w:rsidRPr="00564002">
        <w:t>].</w:t>
      </w:r>
      <w:r w:rsidR="00242C0F" w:rsidRPr="00564002">
        <w:t xml:space="preserve"> </w:t>
      </w:r>
      <w:r w:rsidR="00855037" w:rsidRPr="00564002">
        <w:t>These included healthcare, social care, unpaid care and quality of life costs</w:t>
      </w:r>
      <w:r w:rsidR="00D03896" w:rsidRPr="00564002">
        <w:t>, which we separated into costs for dementia patients in home or institution care</w:t>
      </w:r>
      <w:r w:rsidR="00223EF6" w:rsidRPr="00564002">
        <w:t xml:space="preserve">. </w:t>
      </w:r>
      <w:r w:rsidR="003C21B1" w:rsidRPr="003C21B1">
        <w:t>This allowed direct comparison of costs under differing PD prevalences and alignment with other dementia-modelling studies.</w:t>
      </w:r>
      <w:r w:rsidR="003C21B1">
        <w:t xml:space="preserve"> </w:t>
      </w:r>
    </w:p>
    <w:p w14:paraId="217C3B6B" w14:textId="552BB7DA" w:rsidR="00DA6CFB" w:rsidRPr="00564002" w:rsidRDefault="00AC76B0">
      <w:r w:rsidRPr="00564002">
        <w:t xml:space="preserve">QALYs </w:t>
      </w:r>
      <w:r w:rsidR="00914FF1" w:rsidRPr="00564002">
        <w:t xml:space="preserve">are commonly used </w:t>
      </w:r>
      <w:r w:rsidR="0057692F" w:rsidRPr="00564002">
        <w:t>to value the benefit of interventions, with one QALY equating a year of life in perfect health</w:t>
      </w:r>
      <w:r w:rsidR="000F5D2E" w:rsidRPr="00564002">
        <w:t xml:space="preserve"> [</w:t>
      </w:r>
      <w:r w:rsidR="00B45E4F">
        <w:t>30</w:t>
      </w:r>
      <w:r w:rsidR="000F5D2E" w:rsidRPr="00564002">
        <w:t>]</w:t>
      </w:r>
      <w:r w:rsidR="0057692F" w:rsidRPr="00564002">
        <w:t xml:space="preserve">. </w:t>
      </w:r>
      <w:r w:rsidR="00D5487C" w:rsidRPr="00564002">
        <w:t>This means years of life can take into account the quality and quantity of life.</w:t>
      </w:r>
      <w:r w:rsidR="0057692F" w:rsidRPr="00564002">
        <w:t xml:space="preserve"> </w:t>
      </w:r>
      <w:r w:rsidR="009848F6" w:rsidRPr="00564002">
        <w:t>Dementia stage specific QALY</w:t>
      </w:r>
      <w:r w:rsidR="005F4747" w:rsidRPr="00564002">
        <w:t xml:space="preserve"> utility values</w:t>
      </w:r>
      <w:r w:rsidR="009848F6" w:rsidRPr="00564002">
        <w:t xml:space="preserve"> </w:t>
      </w:r>
      <w:r w:rsidRPr="00564002">
        <w:t xml:space="preserve">were obtained from </w:t>
      </w:r>
      <w:r w:rsidR="009848F6" w:rsidRPr="00564002">
        <w:t xml:space="preserve">a previous </w:t>
      </w:r>
      <w:r w:rsidR="00352875" w:rsidRPr="00564002">
        <w:t xml:space="preserve">study </w:t>
      </w:r>
      <w:r w:rsidR="00FA46C5" w:rsidRPr="00564002">
        <w:t xml:space="preserve">modelling </w:t>
      </w:r>
      <w:r w:rsidR="00352875" w:rsidRPr="00564002">
        <w:t>the benefits of population-level interventions for dementia risk factors [</w:t>
      </w:r>
      <w:r w:rsidR="00C712C5" w:rsidRPr="00564002">
        <w:t>3</w:t>
      </w:r>
      <w:r w:rsidR="00B45E4F">
        <w:t>1</w:t>
      </w:r>
      <w:r w:rsidR="00352875" w:rsidRPr="00564002">
        <w:t xml:space="preserve">]. </w:t>
      </w:r>
      <w:r w:rsidR="00A203A2" w:rsidRPr="00564002">
        <w:t xml:space="preserve">Age specific utility values </w:t>
      </w:r>
      <w:r w:rsidR="00C34461" w:rsidRPr="00564002">
        <w:t xml:space="preserve">for cognitively normal </w:t>
      </w:r>
      <w:r w:rsidR="00012A78" w:rsidRPr="00564002">
        <w:t xml:space="preserve">were taken from the </w:t>
      </w:r>
      <w:r w:rsidR="0023331A" w:rsidRPr="00564002">
        <w:t>U</w:t>
      </w:r>
      <w:r w:rsidR="00736392" w:rsidRPr="00564002">
        <w:t>K</w:t>
      </w:r>
      <w:r w:rsidR="0023331A" w:rsidRPr="00564002">
        <w:t xml:space="preserve"> Population Norms for EQ-5D [</w:t>
      </w:r>
      <w:r w:rsidR="00C712C5" w:rsidRPr="00564002">
        <w:t>3</w:t>
      </w:r>
      <w:r w:rsidR="00B45E4F">
        <w:t>2</w:t>
      </w:r>
      <w:r w:rsidR="0023331A" w:rsidRPr="00564002">
        <w:t>]</w:t>
      </w:r>
      <w:r w:rsidR="006116EA" w:rsidRPr="00564002">
        <w:t xml:space="preserve">. </w:t>
      </w:r>
      <w:r w:rsidR="00231644" w:rsidRPr="00564002">
        <w:t xml:space="preserve">An informal caregiver for someone with dementia </w:t>
      </w:r>
      <w:r w:rsidR="00FE7CCA" w:rsidRPr="00564002">
        <w:t xml:space="preserve">will also see their quality of life affected due to the strain of care, therefore, we calculated the QALYs for all informal caregivers in the model. These </w:t>
      </w:r>
      <w:r w:rsidR="000122B2" w:rsidRPr="00564002">
        <w:t xml:space="preserve">utility </w:t>
      </w:r>
      <w:r w:rsidR="00FE7CCA" w:rsidRPr="00564002">
        <w:t xml:space="preserve">values were attained from </w:t>
      </w:r>
      <w:r w:rsidR="00F6067F" w:rsidRPr="00564002">
        <w:t xml:space="preserve">literature assessing </w:t>
      </w:r>
      <w:r w:rsidR="00FD2087" w:rsidRPr="00564002">
        <w:t>the impact of caring for people with dementia [</w:t>
      </w:r>
      <w:r w:rsidR="00C712C5" w:rsidRPr="00564002">
        <w:t>3</w:t>
      </w:r>
      <w:r w:rsidR="00B45E4F">
        <w:t>3</w:t>
      </w:r>
      <w:r w:rsidR="00FD2087" w:rsidRPr="00564002">
        <w:t>].</w:t>
      </w:r>
      <w:r w:rsidR="00F61F19" w:rsidRPr="00564002">
        <w:t xml:space="preserve"> </w:t>
      </w:r>
      <w:r w:rsidR="0008260F" w:rsidRPr="00564002">
        <w:t xml:space="preserve">An annual discount rate of 3.5% was applied to both costs and QALYs as suggested by the National Institute of </w:t>
      </w:r>
      <w:r w:rsidR="00223EF6" w:rsidRPr="00564002">
        <w:t xml:space="preserve"> </w:t>
      </w:r>
      <w:r w:rsidR="0008260F" w:rsidRPr="00564002">
        <w:t>Care and Excellence (NICE) and the UK Treasury [</w:t>
      </w:r>
      <w:r w:rsidR="00C6497E" w:rsidRPr="00564002">
        <w:t>3</w:t>
      </w:r>
      <w:r w:rsidR="00B45E4F">
        <w:t>4</w:t>
      </w:r>
      <w:r w:rsidR="0008260F" w:rsidRPr="00564002">
        <w:t>].</w:t>
      </w:r>
      <w:r w:rsidR="00F61F19" w:rsidRPr="00564002">
        <w:t xml:space="preserve"> </w:t>
      </w:r>
      <w:r w:rsidR="007E1BDE" w:rsidRPr="00564002">
        <w:t xml:space="preserve">Full methodology for </w:t>
      </w:r>
      <w:r w:rsidR="00FA42DE" w:rsidRPr="00564002">
        <w:t xml:space="preserve">the measurement of </w:t>
      </w:r>
      <w:r w:rsidR="007E1BDE" w:rsidRPr="00564002">
        <w:t>cost</w:t>
      </w:r>
      <w:r w:rsidR="00FA42DE" w:rsidRPr="00564002">
        <w:t>s</w:t>
      </w:r>
      <w:r w:rsidR="007E1BDE" w:rsidRPr="00564002">
        <w:t xml:space="preserve"> and QALY</w:t>
      </w:r>
      <w:r w:rsidR="00FA42DE" w:rsidRPr="00564002">
        <w:t xml:space="preserve">s can be found in the </w:t>
      </w:r>
      <w:r w:rsidR="009D5931">
        <w:t>supplementary information</w:t>
      </w:r>
      <w:r w:rsidR="00FA42DE" w:rsidRPr="00564002">
        <w:t xml:space="preserve"> (pp.x-x).</w:t>
      </w:r>
      <w:r w:rsidR="007E1BDE" w:rsidRPr="00564002">
        <w:t xml:space="preserve"> </w:t>
      </w:r>
    </w:p>
    <w:p w14:paraId="3F232A78" w14:textId="77777777" w:rsidR="00724995" w:rsidRPr="00564002" w:rsidRDefault="00724995">
      <w:pPr>
        <w:rPr>
          <w:b/>
          <w:bCs/>
        </w:rPr>
      </w:pPr>
    </w:p>
    <w:p w14:paraId="3D689C70" w14:textId="25E43BBE" w:rsidR="009D4063" w:rsidRPr="00564002" w:rsidRDefault="009D4063">
      <w:pPr>
        <w:rPr>
          <w:b/>
          <w:bCs/>
        </w:rPr>
      </w:pPr>
      <w:r w:rsidRPr="00564002">
        <w:rPr>
          <w:b/>
          <w:bCs/>
        </w:rPr>
        <w:t>Outcomes</w:t>
      </w:r>
    </w:p>
    <w:p w14:paraId="59F482A7" w14:textId="2A41EF8F" w:rsidR="009D4063" w:rsidRPr="00564002" w:rsidRDefault="001171EE">
      <w:r>
        <w:t>Differences in i</w:t>
      </w:r>
      <w:r w:rsidRPr="00564002">
        <w:t xml:space="preserve">ncidence </w:t>
      </w:r>
      <w:r>
        <w:t xml:space="preserve">and prevalence </w:t>
      </w:r>
      <w:r w:rsidR="0079567A">
        <w:t>trends</w:t>
      </w:r>
      <w:r w:rsidRPr="00564002">
        <w:t xml:space="preserve"> over time </w:t>
      </w:r>
      <w:r>
        <w:t>were</w:t>
      </w:r>
      <w:r w:rsidRPr="00564002">
        <w:t xml:space="preserve"> calculated, and the incident dementia </w:t>
      </w:r>
      <w:r>
        <w:t xml:space="preserve">due to PD </w:t>
      </w:r>
      <w:r w:rsidRPr="00564002">
        <w:t xml:space="preserve">at each prevalence level </w:t>
      </w:r>
      <w:r>
        <w:t>was</w:t>
      </w:r>
      <w:r w:rsidRPr="00564002">
        <w:t xml:space="preserve"> analysed. </w:t>
      </w:r>
      <w:r w:rsidR="00BC6322" w:rsidRPr="00564002">
        <w:t xml:space="preserve">The model simulated the economic costs and QALYs for dementia patients either in home care, which included the effects on their informal caregivers, or </w:t>
      </w:r>
      <w:r w:rsidR="00993732">
        <w:t>to the NHS</w:t>
      </w:r>
      <w:r w:rsidR="00BC6322" w:rsidRPr="00564002">
        <w:t>.</w:t>
      </w:r>
      <w:r w:rsidR="0060030A" w:rsidRPr="00564002">
        <w:t xml:space="preserve"> </w:t>
      </w:r>
      <w:r w:rsidR="00E21EDE" w:rsidRPr="00564002">
        <w:t xml:space="preserve">Using the three different PD prevalence cases, we estimate </w:t>
      </w:r>
      <w:r w:rsidR="00C273EC" w:rsidRPr="00564002">
        <w:t xml:space="preserve">the QALYs gained and </w:t>
      </w:r>
      <w:r w:rsidR="00564002">
        <w:t>cost-saving</w:t>
      </w:r>
      <w:r w:rsidR="00504AAC">
        <w:t>s</w:t>
      </w:r>
      <w:r w:rsidR="00C273EC" w:rsidRPr="00564002">
        <w:t xml:space="preserve"> of reducing PD disease. </w:t>
      </w:r>
      <w:r w:rsidR="00A94A9C">
        <w:t>We report the cu</w:t>
      </w:r>
      <w:r w:rsidR="008938DE">
        <w:t>mulative number of new cases of dementia and deaths in each scenario</w:t>
      </w:r>
      <w:r w:rsidR="00993732">
        <w:t xml:space="preserve">, providing estimates of the deaths avoided </w:t>
      </w:r>
      <w:r w:rsidR="001E0583">
        <w:t>given different PD prevalence trends</w:t>
      </w:r>
      <w:r>
        <w:t>.</w:t>
      </w:r>
      <w:r w:rsidR="004217C4">
        <w:t xml:space="preserve"> </w:t>
      </w:r>
    </w:p>
    <w:p w14:paraId="000FD533" w14:textId="77777777" w:rsidR="00BC6322" w:rsidRPr="00564002" w:rsidRDefault="00BC6322">
      <w:pPr>
        <w:rPr>
          <w:b/>
          <w:bCs/>
        </w:rPr>
      </w:pPr>
    </w:p>
    <w:p w14:paraId="3BA92CCB" w14:textId="1EC4BC91" w:rsidR="009D4063" w:rsidRPr="00564002" w:rsidRDefault="009D4063">
      <w:pPr>
        <w:rPr>
          <w:b/>
          <w:bCs/>
        </w:rPr>
      </w:pPr>
      <w:r w:rsidRPr="00564002">
        <w:rPr>
          <w:b/>
          <w:bCs/>
        </w:rPr>
        <w:t>Sensitivity analysis</w:t>
      </w:r>
    </w:p>
    <w:p w14:paraId="5F338B8F" w14:textId="1A49A79B" w:rsidR="007A2EFF" w:rsidRDefault="00663279">
      <w:r>
        <w:lastRenderedPageBreak/>
        <w:t xml:space="preserve">We used sensitivity analysis to </w:t>
      </w:r>
      <w:r w:rsidR="0067013D">
        <w:t xml:space="preserve">test uncertainties in our model assumptions. </w:t>
      </w:r>
      <w:r w:rsidR="00860C6A">
        <w:t xml:space="preserve">Our primary method of sensitivity analysis was </w:t>
      </w:r>
      <w:r w:rsidR="00FD2AAA">
        <w:t xml:space="preserve">probabilistic sensitivity analysis on key model parameters. </w:t>
      </w:r>
      <w:r w:rsidR="00A46C94">
        <w:t xml:space="preserve">The γ-distribution </w:t>
      </w:r>
      <w:r w:rsidR="000A31C1">
        <w:t>was u</w:t>
      </w:r>
      <w:r w:rsidR="002665E0">
        <w:t xml:space="preserve">sed </w:t>
      </w:r>
      <w:r w:rsidR="00771C47">
        <w:t xml:space="preserve">to model uncertainty for cost inputs and the β-distribution for </w:t>
      </w:r>
      <w:r w:rsidR="00C87D20">
        <w:t xml:space="preserve">utility and probability parameters. Where confidence intervals were missing from source data, a ±10% relative </w:t>
      </w:r>
      <w:r w:rsidR="002A7813">
        <w:t xml:space="preserve">standard deviation was used </w:t>
      </w:r>
      <w:r w:rsidR="009F633E">
        <w:t>to explore uncertainty</w:t>
      </w:r>
      <w:r w:rsidR="00DB280F">
        <w:t>.</w:t>
      </w:r>
      <w:r w:rsidR="007A2EFF">
        <w:t xml:space="preserve"> We ran </w:t>
      </w:r>
      <w:r w:rsidR="002B510D">
        <w:t>1000 iterations to obtain values and 95% confidence intervals for each output.</w:t>
      </w:r>
      <w:r w:rsidR="00787F34">
        <w:t xml:space="preserve"> </w:t>
      </w:r>
      <w:r w:rsidR="00976E73">
        <w:t>Alternate values for the</w:t>
      </w:r>
      <w:r w:rsidR="00DB280F">
        <w:t xml:space="preserve"> annual dementia onset inflator </w:t>
      </w:r>
      <w:r w:rsidR="00976E73">
        <w:t>were tested</w:t>
      </w:r>
      <w:r w:rsidR="001C1696">
        <w:t xml:space="preserve"> to model uncertainty </w:t>
      </w:r>
      <w:r w:rsidR="00C30849">
        <w:t xml:space="preserve">over future prevention and population health changes. </w:t>
      </w:r>
      <w:r w:rsidR="007A2EFF">
        <w:t xml:space="preserve">Each </w:t>
      </w:r>
      <w:r w:rsidR="00DD0A50">
        <w:t xml:space="preserve">sensitivity </w:t>
      </w:r>
      <w:r w:rsidR="00787F34">
        <w:t xml:space="preserve">analysis was run for the three PD prevalence cases. </w:t>
      </w:r>
    </w:p>
    <w:p w14:paraId="619DC44D" w14:textId="77777777" w:rsidR="009961DF" w:rsidRPr="00564002" w:rsidRDefault="009961DF"/>
    <w:p w14:paraId="4FDB9850" w14:textId="4C3C8FB3" w:rsidR="00F50EFB" w:rsidRPr="00564002" w:rsidRDefault="00F50EFB">
      <w:pPr>
        <w:rPr>
          <w:b/>
          <w:bCs/>
        </w:rPr>
      </w:pPr>
      <w:r w:rsidRPr="00564002">
        <w:rPr>
          <w:b/>
          <w:bCs/>
        </w:rPr>
        <w:t xml:space="preserve">References </w:t>
      </w:r>
    </w:p>
    <w:p w14:paraId="46519EBC" w14:textId="1D4A2622" w:rsidR="00970034" w:rsidRPr="00564002" w:rsidRDefault="00970034">
      <w:r w:rsidRPr="00564002">
        <w:t>[1]</w:t>
      </w:r>
      <w:r w:rsidR="00507918" w:rsidRPr="00564002">
        <w:t xml:space="preserve"> Office for National Statistics. Estimates of the population for England and Wales [Internet]. 2023. Available from: </w:t>
      </w:r>
      <w:hyperlink r:id="rId4" w:history="1">
        <w:r w:rsidR="00507918" w:rsidRPr="00564002">
          <w:rPr>
            <w:rStyle w:val="Hyperlink"/>
          </w:rPr>
          <w:t>https://www.ons.gov.uk/peoplepopulationandcommunity/populationandmigration/populationestimates/datasets/estimatesofthepopulationforenglandandwales</w:t>
        </w:r>
      </w:hyperlink>
      <w:r w:rsidR="00507918" w:rsidRPr="00564002">
        <w:t xml:space="preserve"> </w:t>
      </w:r>
    </w:p>
    <w:p w14:paraId="39B21037" w14:textId="294BC4B4" w:rsidR="00AC0F3F" w:rsidRPr="00564002" w:rsidRDefault="00AC0F3F">
      <w:r w:rsidRPr="002330B6">
        <w:rPr>
          <w:lang w:val="de-DE"/>
        </w:rPr>
        <w:t>[</w:t>
      </w:r>
      <w:r w:rsidR="00970034" w:rsidRPr="002330B6">
        <w:rPr>
          <w:lang w:val="de-DE"/>
        </w:rPr>
        <w:t>2</w:t>
      </w:r>
      <w:r w:rsidRPr="002330B6">
        <w:rPr>
          <w:lang w:val="de-DE"/>
        </w:rPr>
        <w:t xml:space="preserve">] </w:t>
      </w:r>
      <w:r w:rsidR="00AF5C3F" w:rsidRPr="002330B6">
        <w:rPr>
          <w:lang w:val="de-DE"/>
        </w:rPr>
        <w:t xml:space="preserve">Brück CC, Wolters FJ, Ikram MA, de Kok IM. </w:t>
      </w:r>
      <w:r w:rsidR="00AF5C3F" w:rsidRPr="00564002">
        <w:t xml:space="preserve">Projected prevalence and incidence of dementia accounting for secular trends and birth cohort effects: a population-based microsimulation study. </w:t>
      </w:r>
      <w:r w:rsidR="00AF5C3F" w:rsidRPr="00564002">
        <w:rPr>
          <w:i/>
          <w:iCs/>
        </w:rPr>
        <w:t>Eur J Epidemiol</w:t>
      </w:r>
      <w:r w:rsidR="00AF5C3F" w:rsidRPr="00564002">
        <w:t>. 2022;37(8):807–814. doi:10.1007/s10654-022-00894-8</w:t>
      </w:r>
    </w:p>
    <w:p w14:paraId="02FEF08D" w14:textId="756D0984" w:rsidR="00F618B3" w:rsidRPr="00564002" w:rsidRDefault="00F618B3" w:rsidP="00BE2BB9">
      <w:r w:rsidRPr="00564002">
        <w:t>[</w:t>
      </w:r>
      <w:r w:rsidR="00970034" w:rsidRPr="00564002">
        <w:t>3</w:t>
      </w:r>
      <w:r w:rsidRPr="00564002">
        <w:t>]</w:t>
      </w:r>
      <w:r w:rsidR="00137E54" w:rsidRPr="00564002">
        <w:t xml:space="preserve"> Ermini Leaf D, Tysinger B, Goldman DP, Lakdawalla DN. Predicting quantity and quality of life with the Future Elderly Model. </w:t>
      </w:r>
      <w:r w:rsidR="00137E54" w:rsidRPr="00564002">
        <w:rPr>
          <w:i/>
          <w:iCs/>
        </w:rPr>
        <w:t>Health Econ</w:t>
      </w:r>
      <w:r w:rsidR="00137E54" w:rsidRPr="00564002">
        <w:t>. 2021;30(Suppl 1):52–79. doi:10.1002/hec.4445</w:t>
      </w:r>
    </w:p>
    <w:p w14:paraId="57946DBB" w14:textId="39351403" w:rsidR="0063436F" w:rsidRPr="00564002" w:rsidRDefault="0063436F" w:rsidP="00BE2BB9">
      <w:r w:rsidRPr="00564002">
        <w:t>[</w:t>
      </w:r>
      <w:r w:rsidR="00970034" w:rsidRPr="00564002">
        <w:t>4</w:t>
      </w:r>
      <w:r w:rsidRPr="00564002">
        <w:t xml:space="preserve">] </w:t>
      </w:r>
      <w:r w:rsidR="007411E6" w:rsidRPr="00564002">
        <w:t xml:space="preserve">Olfson M, Stroup TS, Huang C, Wall MM, Gerhard T. Age and incidence of dementia diagnosis. </w:t>
      </w:r>
      <w:r w:rsidR="007411E6" w:rsidRPr="00564002">
        <w:rPr>
          <w:i/>
          <w:iCs/>
        </w:rPr>
        <w:t>J Gen Intern Med</w:t>
      </w:r>
      <w:r w:rsidR="007411E6" w:rsidRPr="00564002">
        <w:t>. 2021;36(7):2167–2169. doi:10.1007/s11606-021-06670-y</w:t>
      </w:r>
    </w:p>
    <w:p w14:paraId="11203247" w14:textId="6C22EA22" w:rsidR="002B41DB" w:rsidRPr="00564002" w:rsidRDefault="002B41DB" w:rsidP="00BE2BB9">
      <w:r w:rsidRPr="00564002">
        <w:t>[</w:t>
      </w:r>
      <w:r w:rsidR="00970034" w:rsidRPr="00564002">
        <w:t>5</w:t>
      </w:r>
      <w:r w:rsidRPr="00564002">
        <w:t xml:space="preserve">] </w:t>
      </w:r>
      <w:r w:rsidR="004950DB" w:rsidRPr="00564002">
        <w:t xml:space="preserve">Chen Y, Araghi M, Bandosz P, Shipley MJ, Ahmadi-Abhari S, Lobanov-Rostovsky S, Venkatraman T, Kivimaki M, O’Flaherty M, Brunner EJ. Impact of hypertension prevalence trend on mortality and burdens of dementia and disability in England and Wales to 2060: a simulation modelling study. </w:t>
      </w:r>
      <w:r w:rsidR="004950DB" w:rsidRPr="00564002">
        <w:rPr>
          <w:i/>
          <w:iCs/>
        </w:rPr>
        <w:t>Lancet Healthy Longev</w:t>
      </w:r>
      <w:r w:rsidR="004950DB" w:rsidRPr="00564002">
        <w:t xml:space="preserve">. 2023;4(9):e470–e477. doi:10.1016/S2666-7568(23)00163-5 </w:t>
      </w:r>
    </w:p>
    <w:p w14:paraId="260CF28B" w14:textId="63EC5148" w:rsidR="00BE2BB9" w:rsidRDefault="00F50EFB" w:rsidP="00BE2BB9">
      <w:r w:rsidRPr="00564002">
        <w:t>[</w:t>
      </w:r>
      <w:r w:rsidR="00970034" w:rsidRPr="00564002">
        <w:t>6</w:t>
      </w:r>
      <w:r w:rsidRPr="00564002">
        <w:t xml:space="preserve">] </w:t>
      </w:r>
      <w:r w:rsidR="00BE2BB9" w:rsidRPr="00564002">
        <w:t xml:space="preserve">NHS Digital. Primary Care Dementia Data, December 2023. England: NHS Digital; 2024. Available from: </w:t>
      </w:r>
      <w:hyperlink r:id="rId5" w:tgtFrame="_new" w:history="1">
        <w:r w:rsidR="00BE2BB9" w:rsidRPr="00564002">
          <w:rPr>
            <w:rStyle w:val="Hyperlink"/>
          </w:rPr>
          <w:t>https://digital.nhs.uk/data-and-information/publications/statistical/primary-care-dementia-data/december-2023</w:t>
        </w:r>
      </w:hyperlink>
    </w:p>
    <w:p w14:paraId="38C072C3" w14:textId="0217435B" w:rsidR="00064781" w:rsidRPr="00536598" w:rsidRDefault="00064781" w:rsidP="00BE2BB9">
      <w:r w:rsidRPr="00536598">
        <w:t>[7]</w:t>
      </w:r>
      <w:r w:rsidR="00536598" w:rsidRPr="00536598">
        <w:t xml:space="preserve"> </w:t>
      </w:r>
      <w:r w:rsidR="00536598" w:rsidRPr="00564002">
        <w:t xml:space="preserve">Office for National Statistics. </w:t>
      </w:r>
      <w:r w:rsidR="00536598" w:rsidRPr="00536598">
        <w:t>Population projections for regions by five-year age groups and sex, England</w:t>
      </w:r>
      <w:r w:rsidR="00536598">
        <w:t xml:space="preserve"> </w:t>
      </w:r>
      <w:r w:rsidR="00536598" w:rsidRPr="00564002">
        <w:t>[Internet]. 2023. Available from:</w:t>
      </w:r>
      <w:r w:rsidR="00536598">
        <w:t xml:space="preserve"> </w:t>
      </w:r>
      <w:hyperlink r:id="rId6" w:history="1">
        <w:r w:rsidR="00536598" w:rsidRPr="00ED40E4">
          <w:rPr>
            <w:rStyle w:val="Hyperlink"/>
          </w:rPr>
          <w:t>https://www.ons.gov.uk/peoplepopulationandcommunity/populationandmigration/populationprojections/datasets/regionsinenglandtable1</w:t>
        </w:r>
      </w:hyperlink>
      <w:r w:rsidR="00536598">
        <w:t xml:space="preserve"> </w:t>
      </w:r>
    </w:p>
    <w:p w14:paraId="269A4310" w14:textId="70AEE5E8" w:rsidR="00E15003" w:rsidRPr="00564002" w:rsidRDefault="00E15003" w:rsidP="00E15003">
      <w:r w:rsidRPr="00064781">
        <w:rPr>
          <w:lang w:val="fr-FR"/>
        </w:rPr>
        <w:lastRenderedPageBreak/>
        <w:t>[</w:t>
      </w:r>
      <w:r w:rsidR="00064781" w:rsidRPr="00064781">
        <w:rPr>
          <w:lang w:val="fr-FR"/>
        </w:rPr>
        <w:t>8</w:t>
      </w:r>
      <w:r w:rsidRPr="00064781">
        <w:rPr>
          <w:lang w:val="fr-FR"/>
        </w:rPr>
        <w:t xml:space="preserve">] Tariot PN, Boada M, Lanctôt KL, et al. </w:t>
      </w:r>
      <w:r w:rsidRPr="00564002">
        <w:t xml:space="preserve">Relationships of change in Clinical Dementia Rating (CDR) on patient outcomes and probability of progression: observational analysis. </w:t>
      </w:r>
      <w:r w:rsidRPr="00564002">
        <w:rPr>
          <w:i/>
          <w:iCs/>
        </w:rPr>
        <w:t>Alzheimers Res Ther</w:t>
      </w:r>
      <w:r w:rsidRPr="00564002">
        <w:t>. 2024;16:36. doi:10.1186/s13195-024-01399-7</w:t>
      </w:r>
    </w:p>
    <w:p w14:paraId="64471601" w14:textId="0211D48B" w:rsidR="0065425C" w:rsidRPr="00564002" w:rsidRDefault="0065425C" w:rsidP="00E15003">
      <w:r w:rsidRPr="00564002">
        <w:t>[</w:t>
      </w:r>
      <w:r w:rsidR="00064781">
        <w:t>9</w:t>
      </w:r>
      <w:r w:rsidRPr="00564002">
        <w:t>]</w:t>
      </w:r>
      <w:r w:rsidR="00636243" w:rsidRPr="00564002">
        <w:t xml:space="preserve"> </w:t>
      </w:r>
      <w:r w:rsidR="0043223C" w:rsidRPr="00564002">
        <w:t xml:space="preserve">Matthews FE, Stephan BCM, Robinson L, Jagger C, Barnes LE, Arthur A, Brayne C. A two decade dementia incidence comparison from the Cognitive Function and Ageing Studies I and II. </w:t>
      </w:r>
      <w:r w:rsidR="0043223C" w:rsidRPr="00564002">
        <w:rPr>
          <w:i/>
          <w:iCs/>
        </w:rPr>
        <w:t>Nat Commun</w:t>
      </w:r>
      <w:r w:rsidR="0043223C" w:rsidRPr="00564002">
        <w:t>. 2016;7:11398. doi:10.1038/ncomms11398</w:t>
      </w:r>
    </w:p>
    <w:p w14:paraId="7FAEA97E" w14:textId="6F99FC9D" w:rsidR="00A872A3" w:rsidRPr="00564002" w:rsidRDefault="00A872A3" w:rsidP="00E15003">
      <w:r w:rsidRPr="00564002">
        <w:t>[</w:t>
      </w:r>
      <w:r w:rsidR="00064781">
        <w:t>10</w:t>
      </w:r>
      <w:r w:rsidRPr="00564002">
        <w:t>]</w:t>
      </w:r>
      <w:r w:rsidR="005B3D18" w:rsidRPr="00564002">
        <w:t xml:space="preserve"> Licher S, et al. Lifetime risk of common neurological diseases in the elderly population. </w:t>
      </w:r>
      <w:r w:rsidR="005B3D18" w:rsidRPr="00564002">
        <w:rPr>
          <w:i/>
          <w:iCs/>
        </w:rPr>
        <w:t>J Neurol Neurosurg Psychiatry</w:t>
      </w:r>
      <w:r w:rsidR="005B3D18" w:rsidRPr="00564002">
        <w:t>. 2019;90(2):148–156. doi:10.1136/jnnp-2018-318650</w:t>
      </w:r>
    </w:p>
    <w:p w14:paraId="6A6512B1" w14:textId="34CE0EB3" w:rsidR="00AB5E49" w:rsidRPr="00564002" w:rsidRDefault="00080F5F" w:rsidP="00AB5E49">
      <w:r w:rsidRPr="00564002">
        <w:t>[</w:t>
      </w:r>
      <w:r w:rsidR="00A872A3" w:rsidRPr="00564002">
        <w:t>1</w:t>
      </w:r>
      <w:r w:rsidR="00064781">
        <w:t>1</w:t>
      </w:r>
      <w:r w:rsidRPr="00564002">
        <w:t xml:space="preserve">] </w:t>
      </w:r>
      <w:r w:rsidR="00AB5E49" w:rsidRPr="00564002">
        <w:t xml:space="preserve">Crowell V, Reyes A, Zhou SQ, et al. Disease severity and mortality in Alzheimer’s disease: an analysis using the U.S. National Alzheimer’s Coordinating Center Uniform Data Set. </w:t>
      </w:r>
      <w:r w:rsidR="00AB5E49" w:rsidRPr="00564002">
        <w:rPr>
          <w:i/>
          <w:iCs/>
        </w:rPr>
        <w:t>BMC Neurol</w:t>
      </w:r>
      <w:r w:rsidR="00AB5E49" w:rsidRPr="00564002">
        <w:t>. 2023;23:302. doi:10.1186/s12883-023-03353-w</w:t>
      </w:r>
    </w:p>
    <w:p w14:paraId="299F4ABF" w14:textId="64A3374B" w:rsidR="00080F5F" w:rsidRDefault="00AB5E49" w:rsidP="00E15003">
      <w:r w:rsidRPr="00564002">
        <w:t>[</w:t>
      </w:r>
      <w:r w:rsidR="0065425C" w:rsidRPr="00564002">
        <w:t>1</w:t>
      </w:r>
      <w:r w:rsidR="00064781">
        <w:t>2</w:t>
      </w:r>
      <w:r w:rsidRPr="00564002">
        <w:t xml:space="preserve">] </w:t>
      </w:r>
      <w:r w:rsidR="00B04309" w:rsidRPr="00564002">
        <w:t>Öksüz N, Ghouri R, Taşdelen B, Uludüz D, Özge A. Mild cognitive impairment progression and Alzheimer’s disease risk: a comprehensive analysis of 3553 cases over 203 months. J Clin Med. 2024;13(2):518. doi:10.3390/jcm13020518</w:t>
      </w:r>
    </w:p>
    <w:p w14:paraId="05F3D527" w14:textId="4BFB3D56" w:rsidR="00B45E4F" w:rsidRPr="00564002" w:rsidRDefault="00B45E4F" w:rsidP="00E15003">
      <w:r>
        <w:t>[13]</w:t>
      </w:r>
      <w:r w:rsidR="002333C0">
        <w:t xml:space="preserve"> </w:t>
      </w:r>
      <w:r w:rsidR="00297E91" w:rsidRPr="00297E91">
        <w:t xml:space="preserve">Chen Y, Bandosz P, Stoye G, Liu Y, Wu Y, Lobanov-Rostovsky S, French E, Kivimaki M, Livingston G, Liao J, Brunner EJ. Dementia incidence trend in England and Wales, 2002–19, and projection for dementia burden to 2040: analysis of data from the English Longitudinal Study of Ageing. </w:t>
      </w:r>
      <w:r w:rsidR="00297E91" w:rsidRPr="00297E91">
        <w:rPr>
          <w:i/>
          <w:iCs/>
        </w:rPr>
        <w:t>Lancet Public Health</w:t>
      </w:r>
      <w:r w:rsidR="00297E91" w:rsidRPr="00297E91">
        <w:t>. 2023 Nov 1;8(11):e859–67.</w:t>
      </w:r>
    </w:p>
    <w:p w14:paraId="2A6430B6" w14:textId="710E56DB" w:rsidR="00B04309" w:rsidRPr="00564002" w:rsidRDefault="00B04309" w:rsidP="00E15003">
      <w:r w:rsidRPr="00564002">
        <w:t>[1</w:t>
      </w:r>
      <w:r w:rsidR="00B45E4F">
        <w:t>4</w:t>
      </w:r>
      <w:r w:rsidRPr="00564002">
        <w:t>]</w:t>
      </w:r>
      <w:r w:rsidR="008E1998" w:rsidRPr="00564002">
        <w:t xml:space="preserve"> Biondo F, Jewell A, Pritchard M, et al. Brain-age is associated with progression to dementia in memory clinic patients. </w:t>
      </w:r>
      <w:r w:rsidR="008E1998" w:rsidRPr="00564002">
        <w:rPr>
          <w:i/>
          <w:iCs/>
        </w:rPr>
        <w:t>Neuroimage Clin</w:t>
      </w:r>
      <w:r w:rsidR="008E1998" w:rsidRPr="00564002">
        <w:t>. 2022;36:103175. doi:10.1016/j.nicl.2022.103175</w:t>
      </w:r>
    </w:p>
    <w:p w14:paraId="22E66930" w14:textId="48E85C5E" w:rsidR="00DD1836" w:rsidRPr="00564002" w:rsidRDefault="00DD1836" w:rsidP="00E15003">
      <w:r w:rsidRPr="00564002">
        <w:t>[1</w:t>
      </w:r>
      <w:r w:rsidR="00B45E4F">
        <w:t>5</w:t>
      </w:r>
      <w:r w:rsidRPr="00564002">
        <w:t xml:space="preserve">] </w:t>
      </w:r>
      <w:r w:rsidR="005562C7" w:rsidRPr="00564002">
        <w:t xml:space="preserve">Ahmadi-Abhari S, Guzman-Castillo M, Bandosz P, Shipley MJ, Muniz-Terrera G, Singh-Manoux A, Kivimäki M, Steptoe A, Capewell S, O’Flaherty M, Brunner EJ. Temporal trend in dementia incidence since 2002 and projections for prevalence in England and Wales to 2040: modelling study. </w:t>
      </w:r>
      <w:r w:rsidR="005562C7" w:rsidRPr="00564002">
        <w:rPr>
          <w:i/>
          <w:iCs/>
        </w:rPr>
        <w:t>BMJ</w:t>
      </w:r>
      <w:r w:rsidR="005562C7" w:rsidRPr="00564002">
        <w:t>. 2017;358:j2856. doi:10.1136/bmj.j2856</w:t>
      </w:r>
    </w:p>
    <w:p w14:paraId="70092731" w14:textId="604DBC0A" w:rsidR="0086458C" w:rsidRPr="00564002" w:rsidRDefault="0086458C" w:rsidP="00E15003">
      <w:r w:rsidRPr="00564002">
        <w:t>[1</w:t>
      </w:r>
      <w:r w:rsidR="00B45E4F">
        <w:t>6</w:t>
      </w:r>
      <w:r w:rsidRPr="00564002">
        <w:t>]</w:t>
      </w:r>
      <w:r w:rsidR="0094531A" w:rsidRPr="00564002">
        <w:t xml:space="preserve"> Department of Health and Social Care, NHS England. </w:t>
      </w:r>
      <w:r w:rsidR="0094531A" w:rsidRPr="00564002">
        <w:rPr>
          <w:i/>
          <w:iCs/>
        </w:rPr>
        <w:t>Delivering better oral health: an evidence-based toolkit for prevention. Chapter 5: periodontal diseases.</w:t>
      </w:r>
      <w:r w:rsidR="0094531A" w:rsidRPr="00564002">
        <w:t xml:space="preserve"> London: Department of Health and Social Care; updated 10 September 2025. Available from: </w:t>
      </w:r>
      <w:hyperlink r:id="rId7" w:history="1">
        <w:r w:rsidR="00881269" w:rsidRPr="00564002">
          <w:rPr>
            <w:rStyle w:val="Hyperlink"/>
          </w:rPr>
          <w:t>https://www.gov.uk/government/publications/delivering-better-oral-health</w:t>
        </w:r>
      </w:hyperlink>
    </w:p>
    <w:p w14:paraId="0B75916C" w14:textId="5831642B" w:rsidR="00881269" w:rsidRPr="00564002" w:rsidRDefault="00881269" w:rsidP="00E15003">
      <w:r w:rsidRPr="00564002">
        <w:t>[1</w:t>
      </w:r>
      <w:r w:rsidR="00B45E4F">
        <w:t>7</w:t>
      </w:r>
      <w:r w:rsidRPr="00564002">
        <w:t>]</w:t>
      </w:r>
      <w:r w:rsidR="00474DB0" w:rsidRPr="00564002">
        <w:t xml:space="preserve"> Zhang RQ, Ou YN, Huang SY, Li YZ, Huang YY, Zhang YR, Chen SD, Dong Q, Feng JF, Cheng W, Yu JT. Poor oral health and risk of incident dementia: a prospective cohort study of 425,183 participants. </w:t>
      </w:r>
      <w:r w:rsidR="00474DB0" w:rsidRPr="00564002">
        <w:rPr>
          <w:i/>
          <w:iCs/>
        </w:rPr>
        <w:t>J Alzheimers Dis</w:t>
      </w:r>
      <w:r w:rsidR="00474DB0" w:rsidRPr="00564002">
        <w:t>. 2023;93(3):977–990. doi:10.3233/JAD-230109</w:t>
      </w:r>
    </w:p>
    <w:p w14:paraId="7060D470" w14:textId="2003A1DC" w:rsidR="00881269" w:rsidRPr="00564002" w:rsidRDefault="00881269" w:rsidP="00E15003">
      <w:r w:rsidRPr="00564002">
        <w:t>[1</w:t>
      </w:r>
      <w:r w:rsidR="00B45E4F">
        <w:t>8</w:t>
      </w:r>
      <w:r w:rsidRPr="00564002">
        <w:t>]</w:t>
      </w:r>
      <w:r w:rsidR="00AA481D" w:rsidRPr="00564002">
        <w:t xml:space="preserve"> Beydoun MA, Beydoun HA, Hossain S, El-Hajj ZW, Weiss J, Zonderman AB. Clinical and bacterial markers of periodontitis and their association with incident all-cause and </w:t>
      </w:r>
      <w:r w:rsidR="00AA481D" w:rsidRPr="00564002">
        <w:lastRenderedPageBreak/>
        <w:t xml:space="preserve">Alzheimer’s disease dementia in a large national survey. </w:t>
      </w:r>
      <w:r w:rsidR="00AA481D" w:rsidRPr="00564002">
        <w:rPr>
          <w:i/>
          <w:iCs/>
        </w:rPr>
        <w:t>J Alzheimers Dis</w:t>
      </w:r>
      <w:r w:rsidR="00AA481D" w:rsidRPr="00564002">
        <w:t>. 2020;75(1):157–172. doi:10.3233/JAD-200064.</w:t>
      </w:r>
    </w:p>
    <w:p w14:paraId="43C4C91D" w14:textId="35357B6A" w:rsidR="00701B10" w:rsidRPr="00564002" w:rsidRDefault="00701B10" w:rsidP="00E15003">
      <w:r w:rsidRPr="00564002">
        <w:t>[1</w:t>
      </w:r>
      <w:r w:rsidR="00B45E4F">
        <w:t>9</w:t>
      </w:r>
      <w:r w:rsidRPr="00564002">
        <w:t xml:space="preserve">] </w:t>
      </w:r>
      <w:r w:rsidR="00E84814" w:rsidRPr="00564002">
        <w:t xml:space="preserve">Gong J, Harris K, Peters SAE, Woodward M. Sex differences in the association between major cardiovascular risk factors in midlife and dementia: a cohort study using data from the UK Biobank. </w:t>
      </w:r>
      <w:r w:rsidR="00E84814" w:rsidRPr="00564002">
        <w:rPr>
          <w:i/>
          <w:iCs/>
        </w:rPr>
        <w:t>BMC Med</w:t>
      </w:r>
      <w:r w:rsidR="00E84814" w:rsidRPr="00564002">
        <w:t>. 2021;19:110. doi:10.1186/s12916-021-01980-z</w:t>
      </w:r>
    </w:p>
    <w:p w14:paraId="2CAD9EDD" w14:textId="2770B6FF" w:rsidR="00701B10" w:rsidRPr="00564002" w:rsidRDefault="00701B10" w:rsidP="00E15003">
      <w:r w:rsidRPr="00564002">
        <w:t>[</w:t>
      </w:r>
      <w:r w:rsidR="00B45E4F">
        <w:t>20</w:t>
      </w:r>
      <w:r w:rsidRPr="00564002">
        <w:t>]</w:t>
      </w:r>
      <w:r w:rsidR="00323EDE" w:rsidRPr="00564002">
        <w:t xml:space="preserve"> Zhong G, Wang Y, Zhang Y, Guo JJ, Zhao Y. Smoking is associated with an increased risk of dementia: a meta-analysis of prospective cohort studies with investigation of potential effect modifiers. </w:t>
      </w:r>
      <w:r w:rsidR="00323EDE" w:rsidRPr="00564002">
        <w:rPr>
          <w:i/>
          <w:iCs/>
        </w:rPr>
        <w:t>PLoS One</w:t>
      </w:r>
      <w:r w:rsidR="00323EDE" w:rsidRPr="00564002">
        <w:t>. 2015;10(3):e0118333. doi:10.1371/journal.pone.0118333</w:t>
      </w:r>
    </w:p>
    <w:p w14:paraId="4967276F" w14:textId="03571024" w:rsidR="00144B34" w:rsidRPr="00564002" w:rsidRDefault="00144B34" w:rsidP="00E15003">
      <w:r w:rsidRPr="009B09A7">
        <w:t>[</w:t>
      </w:r>
      <w:r w:rsidR="00064781" w:rsidRPr="009B09A7">
        <w:t>2</w:t>
      </w:r>
      <w:r w:rsidR="00B45E4F" w:rsidRPr="009B09A7">
        <w:t>1</w:t>
      </w:r>
      <w:r w:rsidRPr="009B09A7">
        <w:t>]</w:t>
      </w:r>
      <w:r w:rsidR="00623457" w:rsidRPr="009B09A7">
        <w:t xml:space="preserve"> Batty GD, Russ TC, Starr JM, et al. </w:t>
      </w:r>
      <w:r w:rsidR="00623457" w:rsidRPr="00564002">
        <w:t>Modifiable cardiovascular disease risk factors as predictors of dementia death: pooling of ten general population-based cohort studies</w:t>
      </w:r>
      <w:r w:rsidR="00623457" w:rsidRPr="00564002">
        <w:rPr>
          <w:i/>
          <w:iCs/>
        </w:rPr>
        <w:t>. J Negat Results Biomed</w:t>
      </w:r>
      <w:r w:rsidR="00623457" w:rsidRPr="00564002">
        <w:t>. 2014;13:8. doi:10.1186/1477-5751-13-8</w:t>
      </w:r>
    </w:p>
    <w:p w14:paraId="0CD4AA14" w14:textId="77FD0F68" w:rsidR="00AB0E7E" w:rsidRPr="00564002" w:rsidRDefault="00AB0E7E" w:rsidP="00E15003">
      <w:r w:rsidRPr="00564002">
        <w:t>[2</w:t>
      </w:r>
      <w:r w:rsidR="00B45E4F">
        <w:t>2</w:t>
      </w:r>
      <w:r w:rsidRPr="00564002">
        <w:t>]</w:t>
      </w:r>
      <w:r w:rsidR="00FD02C0" w:rsidRPr="00564002">
        <w:t>Cao</w:t>
      </w:r>
      <w:r w:rsidR="002C1ACD" w:rsidRPr="00564002">
        <w:t xml:space="preserve"> F, Yang F, Li J, et al. The relationship between diabetes and the dementia risk: a meta-analysis. </w:t>
      </w:r>
      <w:r w:rsidR="002C1ACD" w:rsidRPr="00564002">
        <w:rPr>
          <w:i/>
          <w:iCs/>
        </w:rPr>
        <w:t>Diabetol Metab Syndr.</w:t>
      </w:r>
      <w:r w:rsidR="002C1ACD" w:rsidRPr="00564002">
        <w:t xml:space="preserve"> 2024;16:101. doi:10.1186/s13098-024-01346-4</w:t>
      </w:r>
    </w:p>
    <w:p w14:paraId="623356C6" w14:textId="6E67F26E" w:rsidR="00AB0E7E" w:rsidRPr="00564002" w:rsidRDefault="00AB0E7E" w:rsidP="00E15003">
      <w:r w:rsidRPr="00564002">
        <w:t>[2</w:t>
      </w:r>
      <w:r w:rsidR="00B45E4F">
        <w:t>3</w:t>
      </w:r>
      <w:r w:rsidRPr="00564002">
        <w:t>]</w:t>
      </w:r>
      <w:r w:rsidR="000A333D" w:rsidRPr="00564002">
        <w:t xml:space="preserve"> Zhang J, Huang X, Ling Y, et al. Associations of cardiometabolic multimorbidity with all-cause dementia, Alzheimer’s disease, and vascular dementia: a cohort study in the UK Biobank. </w:t>
      </w:r>
      <w:r w:rsidR="000A333D" w:rsidRPr="00564002">
        <w:rPr>
          <w:i/>
          <w:iCs/>
        </w:rPr>
        <w:t>BMC Public Health</w:t>
      </w:r>
      <w:r w:rsidR="000A333D" w:rsidRPr="00564002">
        <w:t>. 2025;25:2397. doi:10.1186/s12889-025-23352-5</w:t>
      </w:r>
    </w:p>
    <w:p w14:paraId="732E1D20" w14:textId="25E1F598" w:rsidR="00301312" w:rsidRPr="00564002" w:rsidRDefault="00301312" w:rsidP="00E15003">
      <w:r w:rsidRPr="00564002">
        <w:t>[2</w:t>
      </w:r>
      <w:r w:rsidR="00B45E4F">
        <w:t>4</w:t>
      </w:r>
      <w:r w:rsidRPr="00564002">
        <w:t xml:space="preserve">] </w:t>
      </w:r>
      <w:r w:rsidR="00963022" w:rsidRPr="00564002">
        <w:t xml:space="preserve">Morys F, Dadar M, Dagher A. Association between midlife obesity and its metabolic consequences, cerebrovascular disease, and cognitive decline. </w:t>
      </w:r>
      <w:r w:rsidR="00963022" w:rsidRPr="00564002">
        <w:rPr>
          <w:i/>
          <w:iCs/>
        </w:rPr>
        <w:t>J Clin Endocrinol Metab</w:t>
      </w:r>
      <w:r w:rsidR="00963022" w:rsidRPr="00564002">
        <w:t>. 2021;106(10):e4260–74. doi:10.1210/clinem/dgab421</w:t>
      </w:r>
    </w:p>
    <w:p w14:paraId="20D4E324" w14:textId="1ADDBA62" w:rsidR="00C6497E" w:rsidRPr="00564002" w:rsidRDefault="00C6497E" w:rsidP="00E15003">
      <w:r w:rsidRPr="00564002">
        <w:t>[2</w:t>
      </w:r>
      <w:r w:rsidR="00B45E4F">
        <w:t>5</w:t>
      </w:r>
      <w:r w:rsidRPr="00564002">
        <w:t>]</w:t>
      </w:r>
      <w:r w:rsidR="00C54A1C" w:rsidRPr="00564002">
        <w:t xml:space="preserve"> Kim JH, Lee Y. Dementia and death after stroke in older adults during a 10-year follow-up: results from a competing risk model. </w:t>
      </w:r>
      <w:r w:rsidR="00C54A1C" w:rsidRPr="00564002">
        <w:rPr>
          <w:i/>
          <w:iCs/>
        </w:rPr>
        <w:t>J Nutr Health Aging</w:t>
      </w:r>
      <w:r w:rsidR="00C54A1C" w:rsidRPr="00564002">
        <w:t>. 2018;22(2):297–301. doi:10.1007/s12603-017-0914-3</w:t>
      </w:r>
    </w:p>
    <w:p w14:paraId="0C1AE4C6" w14:textId="18EF25F8" w:rsidR="00C712C5" w:rsidRPr="00564002" w:rsidRDefault="00C712C5" w:rsidP="00054FDA">
      <w:r w:rsidRPr="00564002">
        <w:t>[2</w:t>
      </w:r>
      <w:r w:rsidR="00B45E4F">
        <w:t>6</w:t>
      </w:r>
      <w:r w:rsidRPr="00564002">
        <w:t>]</w:t>
      </w:r>
      <w:r w:rsidR="00054FDA" w:rsidRPr="00564002">
        <w:t xml:space="preserve"> Office for National Statistics. </w:t>
      </w:r>
      <w:r w:rsidR="00054FDA" w:rsidRPr="00564002">
        <w:rPr>
          <w:i/>
          <w:iCs/>
        </w:rPr>
        <w:t>Adult smoking habits in the UK: 2023</w:t>
      </w:r>
      <w:r w:rsidR="00054FDA" w:rsidRPr="00564002">
        <w:t xml:space="preserve">. Cigarette smoking habits among adults in the UK, including how many people smoke, differences between population groups, changes over time and use of e-cigarettes. Published 1 October 2024. Available from: </w:t>
      </w:r>
      <w:hyperlink r:id="rId8" w:history="1">
        <w:r w:rsidR="00054FDA" w:rsidRPr="00564002">
          <w:rPr>
            <w:rStyle w:val="Hyperlink"/>
          </w:rPr>
          <w:t>https://www.ons.gov.uk/peoplepopulationandcommunity/healthandsocialcare/healthandlifeexpectancies/bulletins/adultsmokinghabitsingreatbritain/2023</w:t>
        </w:r>
      </w:hyperlink>
      <w:r w:rsidR="00054FDA" w:rsidRPr="00564002">
        <w:t xml:space="preserve"> (Accessed 27 October 2025).</w:t>
      </w:r>
    </w:p>
    <w:p w14:paraId="1DEC2DDC" w14:textId="22CF29EF" w:rsidR="00C712C5" w:rsidRPr="00564002" w:rsidRDefault="00C712C5" w:rsidP="00E15003">
      <w:r w:rsidRPr="00564002">
        <w:t>[2</w:t>
      </w:r>
      <w:r w:rsidR="00B45E4F">
        <w:t>7</w:t>
      </w:r>
      <w:r w:rsidRPr="00564002">
        <w:t>]</w:t>
      </w:r>
      <w:r w:rsidR="00967B76" w:rsidRPr="00564002">
        <w:t xml:space="preserve"> British Heart Foundation. </w:t>
      </w:r>
      <w:r w:rsidR="00967B76" w:rsidRPr="00564002">
        <w:rPr>
          <w:i/>
          <w:iCs/>
        </w:rPr>
        <w:t>BHF cardiovascular disease statistics compendium 2023.</w:t>
      </w:r>
      <w:r w:rsidR="00967B76" w:rsidRPr="00564002">
        <w:t xml:space="preserve"> London: British Heart Foundation; 2023. Available from: </w:t>
      </w:r>
      <w:hyperlink r:id="rId9" w:tgtFrame="_new" w:history="1">
        <w:r w:rsidR="00967B76" w:rsidRPr="00564002">
          <w:rPr>
            <w:rStyle w:val="Hyperlink"/>
          </w:rPr>
          <w:t>https://www.bhf.org.uk/-/media/files/for-professionals/research/heart-statistics/bhf-statistics-compendium-2023</w:t>
        </w:r>
      </w:hyperlink>
      <w:r w:rsidR="00967B76" w:rsidRPr="00564002">
        <w:t xml:space="preserve"> (Accessed 27 October 2025).</w:t>
      </w:r>
    </w:p>
    <w:p w14:paraId="32589C3C" w14:textId="0EA964B7" w:rsidR="00C712C5" w:rsidRPr="00564002" w:rsidRDefault="00C712C5" w:rsidP="00E15003">
      <w:r w:rsidRPr="00564002">
        <w:t>[2</w:t>
      </w:r>
      <w:r w:rsidR="00B45E4F">
        <w:t>8</w:t>
      </w:r>
      <w:r w:rsidRPr="00564002">
        <w:t>]</w:t>
      </w:r>
      <w:r w:rsidR="00F328B2" w:rsidRPr="00564002">
        <w:t xml:space="preserve"> Department of Health and Social Care. </w:t>
      </w:r>
      <w:r w:rsidR="00F328B2" w:rsidRPr="00564002">
        <w:rPr>
          <w:i/>
          <w:iCs/>
        </w:rPr>
        <w:t>Diabetes profile.</w:t>
      </w:r>
      <w:r w:rsidR="00F328B2" w:rsidRPr="00564002">
        <w:t xml:space="preserve"> Fingertips data. Available from: </w:t>
      </w:r>
      <w:hyperlink r:id="rId10" w:anchor="page/1/gid/1938133438/pat/159/par/K02000001/ati/15/are/E92000001/yrr/1/cid/4/tbm/1" w:tgtFrame="_new" w:history="1">
        <w:r w:rsidR="00F328B2" w:rsidRPr="00564002">
          <w:rPr>
            <w:rStyle w:val="Hyperlink"/>
          </w:rPr>
          <w:t>https://fingertips.phe.org.uk/profile/diabetes-</w:t>
        </w:r>
        <w:r w:rsidR="00F328B2" w:rsidRPr="00564002">
          <w:rPr>
            <w:rStyle w:val="Hyperlink"/>
          </w:rPr>
          <w:lastRenderedPageBreak/>
          <w:t>ft/data#page/1/gid/1938133438/pat/159/par/K02000001/ati/15/are/E92000001/yrr/1/cid/4/tbm/1</w:t>
        </w:r>
      </w:hyperlink>
      <w:r w:rsidR="00F328B2" w:rsidRPr="00564002">
        <w:t xml:space="preserve"> (Accessed 27 October 2025).</w:t>
      </w:r>
    </w:p>
    <w:p w14:paraId="5BF11906" w14:textId="19F62968" w:rsidR="00DC165E" w:rsidRPr="00564002" w:rsidRDefault="00DC165E" w:rsidP="00E15003">
      <w:r w:rsidRPr="00564002">
        <w:t>[</w:t>
      </w:r>
      <w:r w:rsidR="00144B34" w:rsidRPr="00564002">
        <w:t>2</w:t>
      </w:r>
      <w:r w:rsidR="00B45E4F">
        <w:t>9</w:t>
      </w:r>
      <w:r w:rsidRPr="00564002">
        <w:t xml:space="preserve">] </w:t>
      </w:r>
      <w:r w:rsidR="002D36B1" w:rsidRPr="00564002">
        <w:t xml:space="preserve">Alzheimer’s Society. </w:t>
      </w:r>
      <w:r w:rsidR="002D36B1" w:rsidRPr="00564002">
        <w:rPr>
          <w:i/>
          <w:iCs/>
        </w:rPr>
        <w:t>The economic impact of dementia – Module 1: Annual costs of dementia.</w:t>
      </w:r>
      <w:r w:rsidR="002D36B1" w:rsidRPr="00564002">
        <w:t xml:space="preserve"> London: Alzheimer’s Society; 2024 May [cited 2025 Oct 24]. Available from: </w:t>
      </w:r>
      <w:hyperlink r:id="rId11" w:tgtFrame="_new" w:history="1">
        <w:r w:rsidR="002D36B1" w:rsidRPr="00564002">
          <w:rPr>
            <w:rStyle w:val="Hyperlink"/>
          </w:rPr>
          <w:t>https://www.alzheimers.org.uk/sites/default/files/2024-05/the-annual-costs-of-dementia.pdf</w:t>
        </w:r>
      </w:hyperlink>
    </w:p>
    <w:p w14:paraId="56481E9A" w14:textId="47CA9E4A" w:rsidR="00B81E63" w:rsidRPr="00564002" w:rsidRDefault="00B81E63" w:rsidP="00E15003">
      <w:r w:rsidRPr="00564002">
        <w:t>[</w:t>
      </w:r>
      <w:r w:rsidR="00B45E4F">
        <w:t>30</w:t>
      </w:r>
      <w:r w:rsidRPr="00564002">
        <w:t xml:space="preserve">] </w:t>
      </w:r>
      <w:r w:rsidR="004E0365" w:rsidRPr="00564002">
        <w:t>HM Treasury</w:t>
      </w:r>
      <w:r w:rsidR="004E0365" w:rsidRPr="00564002">
        <w:rPr>
          <w:i/>
          <w:iCs/>
        </w:rPr>
        <w:t>. GDP deflators at market prices, and money GDP: March 2025 (Spring Statement &amp; Quarterly National Accounts)</w:t>
      </w:r>
      <w:r w:rsidR="004E0365" w:rsidRPr="00564002">
        <w:t xml:space="preserve"> [Internet]. London: HM Treasury; 2025 Mar [cited 2025 Oct 24]. Available from: </w:t>
      </w:r>
      <w:hyperlink r:id="rId12" w:history="1">
        <w:r w:rsidR="00352875" w:rsidRPr="00564002">
          <w:rPr>
            <w:rStyle w:val="Hyperlink"/>
          </w:rPr>
          <w:t>https://www.gov.uk/government/statistics/gdp-deflators-at-market-prices-and-money-gdp-march-2025-spring-statement-quarterly-national-accounts</w:t>
        </w:r>
      </w:hyperlink>
    </w:p>
    <w:p w14:paraId="777F933A" w14:textId="59D76A9E" w:rsidR="000F5D2E" w:rsidRPr="00564002" w:rsidRDefault="000F5D2E" w:rsidP="00E15003">
      <w:r w:rsidRPr="00564002">
        <w:t>[</w:t>
      </w:r>
      <w:r w:rsidR="00064781">
        <w:t>3</w:t>
      </w:r>
      <w:r w:rsidR="00B45E4F">
        <w:t>1</w:t>
      </w:r>
      <w:r w:rsidR="006A71B9" w:rsidRPr="00564002">
        <w:t>]</w:t>
      </w:r>
      <w:r w:rsidR="000B2A8A" w:rsidRPr="00564002">
        <w:t xml:space="preserve"> Višnjić A, Veličković V, Milosavljević NŠ. QALY: measure of cost–benefit analysis of health interventions. </w:t>
      </w:r>
      <w:r w:rsidR="000B2A8A" w:rsidRPr="00564002">
        <w:rPr>
          <w:i/>
          <w:iCs/>
        </w:rPr>
        <w:t>Acta Fac Med Naiss</w:t>
      </w:r>
      <w:r w:rsidR="000B2A8A" w:rsidRPr="00564002">
        <w:t>. 2011;28(4):195–199.</w:t>
      </w:r>
    </w:p>
    <w:p w14:paraId="3452F6C6" w14:textId="0BEEC4AA" w:rsidR="00352875" w:rsidRPr="00564002" w:rsidRDefault="00352875" w:rsidP="00E15003">
      <w:r w:rsidRPr="00564002">
        <w:t>[</w:t>
      </w:r>
      <w:r w:rsidR="00C712C5" w:rsidRPr="00564002">
        <w:t>3</w:t>
      </w:r>
      <w:r w:rsidR="00B45E4F">
        <w:t>2</w:t>
      </w:r>
      <w:r w:rsidRPr="00564002">
        <w:t xml:space="preserve">] </w:t>
      </w:r>
      <w:r w:rsidR="005846B7" w:rsidRPr="00564002">
        <w:t xml:space="preserve">Mukadam N, Anderson R, Walsh S, Wittenberg R, Knapp M, Brayne C, Livingston G. Benefits of population-level interventions for dementia risk factors: an economic modelling study for England. </w:t>
      </w:r>
      <w:r w:rsidR="005846B7" w:rsidRPr="00564002">
        <w:rPr>
          <w:i/>
          <w:iCs/>
        </w:rPr>
        <w:t>Lancet Healthy Longev</w:t>
      </w:r>
      <w:r w:rsidR="005846B7" w:rsidRPr="00564002">
        <w:t>. 2024;5(9):e567–e577. doi:10.1016/S2666-7568(24)00156-3</w:t>
      </w:r>
    </w:p>
    <w:p w14:paraId="29BDB057" w14:textId="04AE4263" w:rsidR="0023331A" w:rsidRPr="00564002" w:rsidRDefault="0023331A" w:rsidP="00E15003">
      <w:r w:rsidRPr="00564002">
        <w:t>[</w:t>
      </w:r>
      <w:r w:rsidR="00C712C5" w:rsidRPr="00564002">
        <w:t>3</w:t>
      </w:r>
      <w:r w:rsidR="00B45E4F">
        <w:t>3</w:t>
      </w:r>
      <w:r w:rsidRPr="00564002">
        <w:t xml:space="preserve">] </w:t>
      </w:r>
      <w:r w:rsidR="00CF3A4F" w:rsidRPr="00564002">
        <w:t xml:space="preserve">Kind P, Hardman G, Macran S. </w:t>
      </w:r>
      <w:r w:rsidR="00CF3A4F" w:rsidRPr="00564002">
        <w:rPr>
          <w:i/>
          <w:iCs/>
        </w:rPr>
        <w:t>UK population norms for EQ-5D.</w:t>
      </w:r>
      <w:r w:rsidR="00CF3A4F" w:rsidRPr="00564002">
        <w:t xml:space="preserve"> York: Centre for Health Economics, University of York; 1999 Nov. Report No.: 172.</w:t>
      </w:r>
    </w:p>
    <w:p w14:paraId="4ABC32E8" w14:textId="19C17197" w:rsidR="004A2A57" w:rsidRPr="00564002" w:rsidRDefault="00FD2087">
      <w:r w:rsidRPr="00564002">
        <w:t>[</w:t>
      </w:r>
      <w:r w:rsidR="00C712C5" w:rsidRPr="00564002">
        <w:t>3</w:t>
      </w:r>
      <w:r w:rsidR="00B45E4F">
        <w:t>4</w:t>
      </w:r>
      <w:r w:rsidRPr="00564002">
        <w:t xml:space="preserve">] </w:t>
      </w:r>
      <w:r w:rsidR="00782009" w:rsidRPr="00564002">
        <w:t xml:space="preserve"> </w:t>
      </w:r>
      <w:r w:rsidR="00F51C28" w:rsidRPr="00564002">
        <w:t xml:space="preserve">Reed C, Barrett A, Lebrec J, et al. How useful is the EQ-5D in assessing the impact of caring for people with Alzheimer’s disease? </w:t>
      </w:r>
      <w:r w:rsidR="00F51C28" w:rsidRPr="00564002">
        <w:rPr>
          <w:i/>
          <w:iCs/>
        </w:rPr>
        <w:t>Health Qual Life Outcomes</w:t>
      </w:r>
      <w:r w:rsidR="00F51C28" w:rsidRPr="00564002">
        <w:t>. 2017;15:16. doi:10.1186/s12955-017-0591-2</w:t>
      </w:r>
    </w:p>
    <w:p w14:paraId="784A827F" w14:textId="106D6C42" w:rsidR="008B0FF0" w:rsidRPr="00480854" w:rsidRDefault="008B0FF0">
      <w:pPr>
        <w:rPr>
          <w:lang w:val="en-US"/>
        </w:rPr>
      </w:pPr>
      <w:r w:rsidRPr="00564002">
        <w:t>[</w:t>
      </w:r>
      <w:r w:rsidR="008B2A07" w:rsidRPr="00564002">
        <w:t>3</w:t>
      </w:r>
      <w:r w:rsidR="00B45E4F">
        <w:t>5</w:t>
      </w:r>
      <w:r w:rsidRPr="00564002">
        <w:t xml:space="preserve">] </w:t>
      </w:r>
      <w:r w:rsidR="002D6E77" w:rsidRPr="00564002">
        <w:t xml:space="preserve">National Institute for Health and Care Excellence (NICE). </w:t>
      </w:r>
      <w:r w:rsidR="002D6E77" w:rsidRPr="00564002">
        <w:rPr>
          <w:i/>
          <w:iCs/>
        </w:rPr>
        <w:t>Guide to the methods of technology appraisal. Process and methods [PMG9]</w:t>
      </w:r>
      <w:r w:rsidR="002D6E77" w:rsidRPr="00564002">
        <w:t>. London: National Institute for Health and Care Excellence; 2013.</w:t>
      </w:r>
    </w:p>
    <w:sectPr w:rsidR="008B0FF0" w:rsidRPr="00480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854"/>
    <w:rsid w:val="00000DD6"/>
    <w:rsid w:val="000020A2"/>
    <w:rsid w:val="000122B2"/>
    <w:rsid w:val="00012A78"/>
    <w:rsid w:val="0001395C"/>
    <w:rsid w:val="000159FD"/>
    <w:rsid w:val="00020195"/>
    <w:rsid w:val="00020564"/>
    <w:rsid w:val="00024A84"/>
    <w:rsid w:val="0002543F"/>
    <w:rsid w:val="0002585F"/>
    <w:rsid w:val="000276AF"/>
    <w:rsid w:val="0003070A"/>
    <w:rsid w:val="00032F18"/>
    <w:rsid w:val="000343E9"/>
    <w:rsid w:val="00034C10"/>
    <w:rsid w:val="000441AD"/>
    <w:rsid w:val="000448F2"/>
    <w:rsid w:val="000458DF"/>
    <w:rsid w:val="000520C2"/>
    <w:rsid w:val="00054FDA"/>
    <w:rsid w:val="00055ADB"/>
    <w:rsid w:val="0006288D"/>
    <w:rsid w:val="000639CD"/>
    <w:rsid w:val="00063EE4"/>
    <w:rsid w:val="00064781"/>
    <w:rsid w:val="0007267B"/>
    <w:rsid w:val="00073006"/>
    <w:rsid w:val="00075BB6"/>
    <w:rsid w:val="00076A8B"/>
    <w:rsid w:val="00080F5F"/>
    <w:rsid w:val="0008260F"/>
    <w:rsid w:val="000926AA"/>
    <w:rsid w:val="000A06F7"/>
    <w:rsid w:val="000A31C1"/>
    <w:rsid w:val="000A333D"/>
    <w:rsid w:val="000B2A8A"/>
    <w:rsid w:val="000B454B"/>
    <w:rsid w:val="000C048F"/>
    <w:rsid w:val="000D00C0"/>
    <w:rsid w:val="000D02F5"/>
    <w:rsid w:val="000D03D6"/>
    <w:rsid w:val="000D710D"/>
    <w:rsid w:val="000D7A29"/>
    <w:rsid w:val="000E29F0"/>
    <w:rsid w:val="000E30BF"/>
    <w:rsid w:val="000E7743"/>
    <w:rsid w:val="000E7F2F"/>
    <w:rsid w:val="000F4209"/>
    <w:rsid w:val="000F5D2E"/>
    <w:rsid w:val="001025BD"/>
    <w:rsid w:val="00115579"/>
    <w:rsid w:val="001171EE"/>
    <w:rsid w:val="001216FA"/>
    <w:rsid w:val="001329C9"/>
    <w:rsid w:val="00135A8F"/>
    <w:rsid w:val="00137E54"/>
    <w:rsid w:val="00144B34"/>
    <w:rsid w:val="00154242"/>
    <w:rsid w:val="001557B1"/>
    <w:rsid w:val="00160B04"/>
    <w:rsid w:val="001616E5"/>
    <w:rsid w:val="00167C6D"/>
    <w:rsid w:val="0017582F"/>
    <w:rsid w:val="001811E5"/>
    <w:rsid w:val="00192FDA"/>
    <w:rsid w:val="00194A58"/>
    <w:rsid w:val="001A41DE"/>
    <w:rsid w:val="001C1696"/>
    <w:rsid w:val="001C4AFB"/>
    <w:rsid w:val="001C544A"/>
    <w:rsid w:val="001C70DA"/>
    <w:rsid w:val="001E0583"/>
    <w:rsid w:val="001E5C9E"/>
    <w:rsid w:val="001E6924"/>
    <w:rsid w:val="001F18E1"/>
    <w:rsid w:val="001F4551"/>
    <w:rsid w:val="001F5F37"/>
    <w:rsid w:val="001F7453"/>
    <w:rsid w:val="002006FD"/>
    <w:rsid w:val="00203699"/>
    <w:rsid w:val="00206335"/>
    <w:rsid w:val="002068C0"/>
    <w:rsid w:val="00207C52"/>
    <w:rsid w:val="0021218E"/>
    <w:rsid w:val="00213293"/>
    <w:rsid w:val="002139CE"/>
    <w:rsid w:val="00221F40"/>
    <w:rsid w:val="0022391A"/>
    <w:rsid w:val="00223EF6"/>
    <w:rsid w:val="00224505"/>
    <w:rsid w:val="00231644"/>
    <w:rsid w:val="00231CA7"/>
    <w:rsid w:val="002330B6"/>
    <w:rsid w:val="0023331A"/>
    <w:rsid w:val="002333AA"/>
    <w:rsid w:val="002333C0"/>
    <w:rsid w:val="00240E6D"/>
    <w:rsid w:val="00242C0F"/>
    <w:rsid w:val="00243B99"/>
    <w:rsid w:val="002475A2"/>
    <w:rsid w:val="00251B07"/>
    <w:rsid w:val="002538A2"/>
    <w:rsid w:val="00253EB2"/>
    <w:rsid w:val="00255BB4"/>
    <w:rsid w:val="00263659"/>
    <w:rsid w:val="00264AAC"/>
    <w:rsid w:val="002665E0"/>
    <w:rsid w:val="0027091E"/>
    <w:rsid w:val="002734C0"/>
    <w:rsid w:val="0027423D"/>
    <w:rsid w:val="00274439"/>
    <w:rsid w:val="00285874"/>
    <w:rsid w:val="00286BA0"/>
    <w:rsid w:val="00297A15"/>
    <w:rsid w:val="00297E91"/>
    <w:rsid w:val="002A12C9"/>
    <w:rsid w:val="002A725F"/>
    <w:rsid w:val="002A7813"/>
    <w:rsid w:val="002B41DB"/>
    <w:rsid w:val="002B510D"/>
    <w:rsid w:val="002B7EE2"/>
    <w:rsid w:val="002C001E"/>
    <w:rsid w:val="002C0827"/>
    <w:rsid w:val="002C0C34"/>
    <w:rsid w:val="002C1ACD"/>
    <w:rsid w:val="002D1F8A"/>
    <w:rsid w:val="002D36B1"/>
    <w:rsid w:val="002D6871"/>
    <w:rsid w:val="002D6E77"/>
    <w:rsid w:val="002E0595"/>
    <w:rsid w:val="002F01BF"/>
    <w:rsid w:val="002F37D0"/>
    <w:rsid w:val="002F383F"/>
    <w:rsid w:val="002F56B2"/>
    <w:rsid w:val="002F57E4"/>
    <w:rsid w:val="002F5857"/>
    <w:rsid w:val="00301312"/>
    <w:rsid w:val="00306608"/>
    <w:rsid w:val="00313891"/>
    <w:rsid w:val="00314EA4"/>
    <w:rsid w:val="00315094"/>
    <w:rsid w:val="00323EDE"/>
    <w:rsid w:val="00331E6E"/>
    <w:rsid w:val="003351A7"/>
    <w:rsid w:val="00337DCC"/>
    <w:rsid w:val="00340367"/>
    <w:rsid w:val="00342966"/>
    <w:rsid w:val="00345703"/>
    <w:rsid w:val="00351513"/>
    <w:rsid w:val="00352875"/>
    <w:rsid w:val="00357227"/>
    <w:rsid w:val="003606D2"/>
    <w:rsid w:val="00364F1F"/>
    <w:rsid w:val="003655E5"/>
    <w:rsid w:val="00370999"/>
    <w:rsid w:val="00370B9F"/>
    <w:rsid w:val="00374DE1"/>
    <w:rsid w:val="00375055"/>
    <w:rsid w:val="003777B6"/>
    <w:rsid w:val="0037795F"/>
    <w:rsid w:val="0038058B"/>
    <w:rsid w:val="00380894"/>
    <w:rsid w:val="00386B08"/>
    <w:rsid w:val="00390CC1"/>
    <w:rsid w:val="003911E4"/>
    <w:rsid w:val="003A1D51"/>
    <w:rsid w:val="003A61C5"/>
    <w:rsid w:val="003B11CC"/>
    <w:rsid w:val="003B1793"/>
    <w:rsid w:val="003B3DD2"/>
    <w:rsid w:val="003C0B77"/>
    <w:rsid w:val="003C21B1"/>
    <w:rsid w:val="003C3D27"/>
    <w:rsid w:val="003C51F9"/>
    <w:rsid w:val="003D32B9"/>
    <w:rsid w:val="003D41A5"/>
    <w:rsid w:val="003E12A9"/>
    <w:rsid w:val="003E1777"/>
    <w:rsid w:val="003E41B2"/>
    <w:rsid w:val="003E6D72"/>
    <w:rsid w:val="003F5CF1"/>
    <w:rsid w:val="00400074"/>
    <w:rsid w:val="004014A7"/>
    <w:rsid w:val="004029A6"/>
    <w:rsid w:val="00407587"/>
    <w:rsid w:val="00411E1B"/>
    <w:rsid w:val="00412BB1"/>
    <w:rsid w:val="00414B19"/>
    <w:rsid w:val="004217C4"/>
    <w:rsid w:val="00424FFC"/>
    <w:rsid w:val="00431076"/>
    <w:rsid w:val="0043223C"/>
    <w:rsid w:val="00437254"/>
    <w:rsid w:val="00446B16"/>
    <w:rsid w:val="00453868"/>
    <w:rsid w:val="00453CB9"/>
    <w:rsid w:val="00455B44"/>
    <w:rsid w:val="00460565"/>
    <w:rsid w:val="004634C1"/>
    <w:rsid w:val="00463E8A"/>
    <w:rsid w:val="0046451F"/>
    <w:rsid w:val="004743E5"/>
    <w:rsid w:val="00474DB0"/>
    <w:rsid w:val="00480635"/>
    <w:rsid w:val="00480854"/>
    <w:rsid w:val="004843F0"/>
    <w:rsid w:val="004950DB"/>
    <w:rsid w:val="004A2A57"/>
    <w:rsid w:val="004A4DBF"/>
    <w:rsid w:val="004B101D"/>
    <w:rsid w:val="004B52AD"/>
    <w:rsid w:val="004B71F1"/>
    <w:rsid w:val="004C74BC"/>
    <w:rsid w:val="004D1A11"/>
    <w:rsid w:val="004E0365"/>
    <w:rsid w:val="004F4BD6"/>
    <w:rsid w:val="00504AAC"/>
    <w:rsid w:val="005069E1"/>
    <w:rsid w:val="00507918"/>
    <w:rsid w:val="0051598A"/>
    <w:rsid w:val="00522886"/>
    <w:rsid w:val="0052332F"/>
    <w:rsid w:val="00536598"/>
    <w:rsid w:val="00540278"/>
    <w:rsid w:val="005503EC"/>
    <w:rsid w:val="0055108A"/>
    <w:rsid w:val="0055226D"/>
    <w:rsid w:val="005529A1"/>
    <w:rsid w:val="005562C7"/>
    <w:rsid w:val="0056015D"/>
    <w:rsid w:val="00564002"/>
    <w:rsid w:val="00564221"/>
    <w:rsid w:val="005656C1"/>
    <w:rsid w:val="00566A4D"/>
    <w:rsid w:val="005707F2"/>
    <w:rsid w:val="0057451C"/>
    <w:rsid w:val="00574A4F"/>
    <w:rsid w:val="00575062"/>
    <w:rsid w:val="0057633C"/>
    <w:rsid w:val="0057692F"/>
    <w:rsid w:val="005777AE"/>
    <w:rsid w:val="00577B10"/>
    <w:rsid w:val="00582245"/>
    <w:rsid w:val="005846B7"/>
    <w:rsid w:val="00584E1F"/>
    <w:rsid w:val="00585D6A"/>
    <w:rsid w:val="00586718"/>
    <w:rsid w:val="00591150"/>
    <w:rsid w:val="00593438"/>
    <w:rsid w:val="005956A3"/>
    <w:rsid w:val="005A010C"/>
    <w:rsid w:val="005A33C4"/>
    <w:rsid w:val="005A3819"/>
    <w:rsid w:val="005B3D18"/>
    <w:rsid w:val="005B76B9"/>
    <w:rsid w:val="005C360B"/>
    <w:rsid w:val="005C48A2"/>
    <w:rsid w:val="005C50B8"/>
    <w:rsid w:val="005E0A33"/>
    <w:rsid w:val="005E181A"/>
    <w:rsid w:val="005E263A"/>
    <w:rsid w:val="005F4747"/>
    <w:rsid w:val="0060030A"/>
    <w:rsid w:val="006116EA"/>
    <w:rsid w:val="006134DA"/>
    <w:rsid w:val="006160AD"/>
    <w:rsid w:val="00623457"/>
    <w:rsid w:val="00625A19"/>
    <w:rsid w:val="0063436F"/>
    <w:rsid w:val="00636243"/>
    <w:rsid w:val="00636577"/>
    <w:rsid w:val="00636C65"/>
    <w:rsid w:val="00637349"/>
    <w:rsid w:val="00637B19"/>
    <w:rsid w:val="00645F24"/>
    <w:rsid w:val="00650B4C"/>
    <w:rsid w:val="0065425C"/>
    <w:rsid w:val="00663279"/>
    <w:rsid w:val="00665B29"/>
    <w:rsid w:val="0066638E"/>
    <w:rsid w:val="0067013D"/>
    <w:rsid w:val="00675E84"/>
    <w:rsid w:val="00680185"/>
    <w:rsid w:val="00680E4B"/>
    <w:rsid w:val="00682C77"/>
    <w:rsid w:val="006A5A59"/>
    <w:rsid w:val="006A66CF"/>
    <w:rsid w:val="006A71B9"/>
    <w:rsid w:val="006B0202"/>
    <w:rsid w:val="006B177F"/>
    <w:rsid w:val="006B3EAC"/>
    <w:rsid w:val="006C0305"/>
    <w:rsid w:val="006C0B4F"/>
    <w:rsid w:val="006C2565"/>
    <w:rsid w:val="006D6582"/>
    <w:rsid w:val="006E092D"/>
    <w:rsid w:val="006E3A8B"/>
    <w:rsid w:val="006F168B"/>
    <w:rsid w:val="00701B10"/>
    <w:rsid w:val="00702DAA"/>
    <w:rsid w:val="00703CBD"/>
    <w:rsid w:val="007073C7"/>
    <w:rsid w:val="007074F9"/>
    <w:rsid w:val="007079EB"/>
    <w:rsid w:val="0071495D"/>
    <w:rsid w:val="00721DC7"/>
    <w:rsid w:val="00722C49"/>
    <w:rsid w:val="00724995"/>
    <w:rsid w:val="00727006"/>
    <w:rsid w:val="00727454"/>
    <w:rsid w:val="00731709"/>
    <w:rsid w:val="00736392"/>
    <w:rsid w:val="00736447"/>
    <w:rsid w:val="007411E6"/>
    <w:rsid w:val="00750575"/>
    <w:rsid w:val="007510F3"/>
    <w:rsid w:val="0075717E"/>
    <w:rsid w:val="007656C3"/>
    <w:rsid w:val="007674D1"/>
    <w:rsid w:val="00771C47"/>
    <w:rsid w:val="007768B8"/>
    <w:rsid w:val="00782009"/>
    <w:rsid w:val="00787F34"/>
    <w:rsid w:val="007923CD"/>
    <w:rsid w:val="0079466D"/>
    <w:rsid w:val="0079567A"/>
    <w:rsid w:val="007A2EFF"/>
    <w:rsid w:val="007A768E"/>
    <w:rsid w:val="007B2468"/>
    <w:rsid w:val="007B4FB4"/>
    <w:rsid w:val="007C0D39"/>
    <w:rsid w:val="007C76CD"/>
    <w:rsid w:val="007D2102"/>
    <w:rsid w:val="007D43AF"/>
    <w:rsid w:val="007D48BB"/>
    <w:rsid w:val="007D5632"/>
    <w:rsid w:val="007D63F4"/>
    <w:rsid w:val="007E1BDE"/>
    <w:rsid w:val="007E60E2"/>
    <w:rsid w:val="007F1C9B"/>
    <w:rsid w:val="007F2ACE"/>
    <w:rsid w:val="007F4B52"/>
    <w:rsid w:val="008013B1"/>
    <w:rsid w:val="00802022"/>
    <w:rsid w:val="00804427"/>
    <w:rsid w:val="00813B9A"/>
    <w:rsid w:val="00814BFD"/>
    <w:rsid w:val="00822476"/>
    <w:rsid w:val="0082428C"/>
    <w:rsid w:val="008330D4"/>
    <w:rsid w:val="0083463A"/>
    <w:rsid w:val="00837B89"/>
    <w:rsid w:val="00840896"/>
    <w:rsid w:val="0084152E"/>
    <w:rsid w:val="00847600"/>
    <w:rsid w:val="00854CDE"/>
    <w:rsid w:val="00854E01"/>
    <w:rsid w:val="00855037"/>
    <w:rsid w:val="00860C6A"/>
    <w:rsid w:val="00863D8A"/>
    <w:rsid w:val="00864511"/>
    <w:rsid w:val="0086458C"/>
    <w:rsid w:val="00865627"/>
    <w:rsid w:val="00865ABE"/>
    <w:rsid w:val="00870A66"/>
    <w:rsid w:val="00871297"/>
    <w:rsid w:val="00873674"/>
    <w:rsid w:val="00876B9C"/>
    <w:rsid w:val="00881244"/>
    <w:rsid w:val="00881269"/>
    <w:rsid w:val="008827A0"/>
    <w:rsid w:val="0089036C"/>
    <w:rsid w:val="008938DE"/>
    <w:rsid w:val="008A2812"/>
    <w:rsid w:val="008B0FF0"/>
    <w:rsid w:val="008B1F2B"/>
    <w:rsid w:val="008B290D"/>
    <w:rsid w:val="008B29FE"/>
    <w:rsid w:val="008B2A07"/>
    <w:rsid w:val="008B6D4D"/>
    <w:rsid w:val="008C12F7"/>
    <w:rsid w:val="008C2CD0"/>
    <w:rsid w:val="008D1DC2"/>
    <w:rsid w:val="008E1844"/>
    <w:rsid w:val="008E1998"/>
    <w:rsid w:val="008E676E"/>
    <w:rsid w:val="008F1717"/>
    <w:rsid w:val="00903FA7"/>
    <w:rsid w:val="00905762"/>
    <w:rsid w:val="0090594E"/>
    <w:rsid w:val="00907888"/>
    <w:rsid w:val="00914FF1"/>
    <w:rsid w:val="00915F6C"/>
    <w:rsid w:val="0092056E"/>
    <w:rsid w:val="00920807"/>
    <w:rsid w:val="0092286E"/>
    <w:rsid w:val="00930581"/>
    <w:rsid w:val="00935EF8"/>
    <w:rsid w:val="00937481"/>
    <w:rsid w:val="0094531A"/>
    <w:rsid w:val="0094799C"/>
    <w:rsid w:val="009542FD"/>
    <w:rsid w:val="00954405"/>
    <w:rsid w:val="00954CB4"/>
    <w:rsid w:val="00963022"/>
    <w:rsid w:val="0096355C"/>
    <w:rsid w:val="00964B2D"/>
    <w:rsid w:val="00966ECA"/>
    <w:rsid w:val="00966EE3"/>
    <w:rsid w:val="00967B76"/>
    <w:rsid w:val="00970034"/>
    <w:rsid w:val="0097052B"/>
    <w:rsid w:val="009749B6"/>
    <w:rsid w:val="00974F2D"/>
    <w:rsid w:val="009754F2"/>
    <w:rsid w:val="00975B16"/>
    <w:rsid w:val="00976E73"/>
    <w:rsid w:val="00982766"/>
    <w:rsid w:val="00983FE0"/>
    <w:rsid w:val="009848F6"/>
    <w:rsid w:val="00993732"/>
    <w:rsid w:val="009942AB"/>
    <w:rsid w:val="009961DF"/>
    <w:rsid w:val="00997D55"/>
    <w:rsid w:val="009B09A7"/>
    <w:rsid w:val="009B234E"/>
    <w:rsid w:val="009B3CB0"/>
    <w:rsid w:val="009B3D8F"/>
    <w:rsid w:val="009B63F7"/>
    <w:rsid w:val="009B6651"/>
    <w:rsid w:val="009B6F00"/>
    <w:rsid w:val="009C2C42"/>
    <w:rsid w:val="009C7ADF"/>
    <w:rsid w:val="009D4063"/>
    <w:rsid w:val="009D5931"/>
    <w:rsid w:val="009D5CA7"/>
    <w:rsid w:val="009D783B"/>
    <w:rsid w:val="009F5F37"/>
    <w:rsid w:val="009F633E"/>
    <w:rsid w:val="009F71DF"/>
    <w:rsid w:val="00A03CBF"/>
    <w:rsid w:val="00A12ADC"/>
    <w:rsid w:val="00A144FC"/>
    <w:rsid w:val="00A203A2"/>
    <w:rsid w:val="00A21857"/>
    <w:rsid w:val="00A21D36"/>
    <w:rsid w:val="00A26E1B"/>
    <w:rsid w:val="00A300C5"/>
    <w:rsid w:val="00A322A5"/>
    <w:rsid w:val="00A34BCB"/>
    <w:rsid w:val="00A34DB2"/>
    <w:rsid w:val="00A358B4"/>
    <w:rsid w:val="00A46C94"/>
    <w:rsid w:val="00A5087E"/>
    <w:rsid w:val="00A61930"/>
    <w:rsid w:val="00A627FC"/>
    <w:rsid w:val="00A649C3"/>
    <w:rsid w:val="00A668BE"/>
    <w:rsid w:val="00A73651"/>
    <w:rsid w:val="00A74D7F"/>
    <w:rsid w:val="00A75A52"/>
    <w:rsid w:val="00A80C3B"/>
    <w:rsid w:val="00A872A3"/>
    <w:rsid w:val="00A94A9C"/>
    <w:rsid w:val="00A95DEE"/>
    <w:rsid w:val="00AA02A1"/>
    <w:rsid w:val="00AA0921"/>
    <w:rsid w:val="00AA481D"/>
    <w:rsid w:val="00AA48BC"/>
    <w:rsid w:val="00AA6B24"/>
    <w:rsid w:val="00AA777F"/>
    <w:rsid w:val="00AB0E7E"/>
    <w:rsid w:val="00AB3D2B"/>
    <w:rsid w:val="00AB5A53"/>
    <w:rsid w:val="00AB5E49"/>
    <w:rsid w:val="00AB7150"/>
    <w:rsid w:val="00AC0F3F"/>
    <w:rsid w:val="00AC4ADD"/>
    <w:rsid w:val="00AC76B0"/>
    <w:rsid w:val="00AD13B1"/>
    <w:rsid w:val="00AD6742"/>
    <w:rsid w:val="00AE343A"/>
    <w:rsid w:val="00AF370F"/>
    <w:rsid w:val="00AF39B6"/>
    <w:rsid w:val="00AF54F4"/>
    <w:rsid w:val="00AF5C3F"/>
    <w:rsid w:val="00B01012"/>
    <w:rsid w:val="00B0168B"/>
    <w:rsid w:val="00B03810"/>
    <w:rsid w:val="00B04309"/>
    <w:rsid w:val="00B048AE"/>
    <w:rsid w:val="00B057FE"/>
    <w:rsid w:val="00B11A58"/>
    <w:rsid w:val="00B166AF"/>
    <w:rsid w:val="00B17CD2"/>
    <w:rsid w:val="00B2262A"/>
    <w:rsid w:val="00B325FE"/>
    <w:rsid w:val="00B45E4F"/>
    <w:rsid w:val="00B544A2"/>
    <w:rsid w:val="00B56E06"/>
    <w:rsid w:val="00B635C5"/>
    <w:rsid w:val="00B65B57"/>
    <w:rsid w:val="00B6702B"/>
    <w:rsid w:val="00B70D46"/>
    <w:rsid w:val="00B717A9"/>
    <w:rsid w:val="00B73B80"/>
    <w:rsid w:val="00B81E63"/>
    <w:rsid w:val="00B84221"/>
    <w:rsid w:val="00B842FA"/>
    <w:rsid w:val="00B874C7"/>
    <w:rsid w:val="00B9496D"/>
    <w:rsid w:val="00BA37E7"/>
    <w:rsid w:val="00BA3A7B"/>
    <w:rsid w:val="00BA5514"/>
    <w:rsid w:val="00BA6A2C"/>
    <w:rsid w:val="00BA78FC"/>
    <w:rsid w:val="00BB011A"/>
    <w:rsid w:val="00BB5D68"/>
    <w:rsid w:val="00BC1367"/>
    <w:rsid w:val="00BC6322"/>
    <w:rsid w:val="00BC65D2"/>
    <w:rsid w:val="00BD2352"/>
    <w:rsid w:val="00BD442D"/>
    <w:rsid w:val="00BD6CF9"/>
    <w:rsid w:val="00BE2BB9"/>
    <w:rsid w:val="00BE5F54"/>
    <w:rsid w:val="00BF55EF"/>
    <w:rsid w:val="00BF63D3"/>
    <w:rsid w:val="00C00D48"/>
    <w:rsid w:val="00C00E7D"/>
    <w:rsid w:val="00C02048"/>
    <w:rsid w:val="00C14B45"/>
    <w:rsid w:val="00C22DA9"/>
    <w:rsid w:val="00C22E20"/>
    <w:rsid w:val="00C23BC9"/>
    <w:rsid w:val="00C273EC"/>
    <w:rsid w:val="00C30849"/>
    <w:rsid w:val="00C331F1"/>
    <w:rsid w:val="00C34461"/>
    <w:rsid w:val="00C45D1D"/>
    <w:rsid w:val="00C477A3"/>
    <w:rsid w:val="00C52FD9"/>
    <w:rsid w:val="00C54A1C"/>
    <w:rsid w:val="00C64294"/>
    <w:rsid w:val="00C6497E"/>
    <w:rsid w:val="00C712C5"/>
    <w:rsid w:val="00C81ABC"/>
    <w:rsid w:val="00C87D20"/>
    <w:rsid w:val="00C91351"/>
    <w:rsid w:val="00C91930"/>
    <w:rsid w:val="00C97C87"/>
    <w:rsid w:val="00CB0799"/>
    <w:rsid w:val="00CB609F"/>
    <w:rsid w:val="00CB6231"/>
    <w:rsid w:val="00CC23C1"/>
    <w:rsid w:val="00CC4DCE"/>
    <w:rsid w:val="00CC796A"/>
    <w:rsid w:val="00CE2ABE"/>
    <w:rsid w:val="00CF3A4F"/>
    <w:rsid w:val="00CF5994"/>
    <w:rsid w:val="00CF70AE"/>
    <w:rsid w:val="00D02040"/>
    <w:rsid w:val="00D03896"/>
    <w:rsid w:val="00D06F94"/>
    <w:rsid w:val="00D06FCE"/>
    <w:rsid w:val="00D130EC"/>
    <w:rsid w:val="00D1751E"/>
    <w:rsid w:val="00D2065C"/>
    <w:rsid w:val="00D21951"/>
    <w:rsid w:val="00D31BCE"/>
    <w:rsid w:val="00D3593E"/>
    <w:rsid w:val="00D502D7"/>
    <w:rsid w:val="00D5487C"/>
    <w:rsid w:val="00D557ED"/>
    <w:rsid w:val="00D57348"/>
    <w:rsid w:val="00D7093D"/>
    <w:rsid w:val="00D74D8A"/>
    <w:rsid w:val="00D775D4"/>
    <w:rsid w:val="00D82E9F"/>
    <w:rsid w:val="00D90CA3"/>
    <w:rsid w:val="00D90D86"/>
    <w:rsid w:val="00D93D06"/>
    <w:rsid w:val="00DA10B8"/>
    <w:rsid w:val="00DA6CFB"/>
    <w:rsid w:val="00DA6D8B"/>
    <w:rsid w:val="00DB11E7"/>
    <w:rsid w:val="00DB280F"/>
    <w:rsid w:val="00DB2A9C"/>
    <w:rsid w:val="00DB5293"/>
    <w:rsid w:val="00DB6EE4"/>
    <w:rsid w:val="00DC165E"/>
    <w:rsid w:val="00DC3F94"/>
    <w:rsid w:val="00DC46F4"/>
    <w:rsid w:val="00DC6416"/>
    <w:rsid w:val="00DC72A9"/>
    <w:rsid w:val="00DC7D50"/>
    <w:rsid w:val="00DD0A50"/>
    <w:rsid w:val="00DD1836"/>
    <w:rsid w:val="00DD5B06"/>
    <w:rsid w:val="00DD7512"/>
    <w:rsid w:val="00DE426F"/>
    <w:rsid w:val="00DF03A8"/>
    <w:rsid w:val="00DF11F3"/>
    <w:rsid w:val="00DF5325"/>
    <w:rsid w:val="00E02381"/>
    <w:rsid w:val="00E060D8"/>
    <w:rsid w:val="00E074D1"/>
    <w:rsid w:val="00E15003"/>
    <w:rsid w:val="00E159E7"/>
    <w:rsid w:val="00E21580"/>
    <w:rsid w:val="00E21EDE"/>
    <w:rsid w:val="00E34186"/>
    <w:rsid w:val="00E3639E"/>
    <w:rsid w:val="00E37B24"/>
    <w:rsid w:val="00E456BE"/>
    <w:rsid w:val="00E46A1B"/>
    <w:rsid w:val="00E52013"/>
    <w:rsid w:val="00E5266C"/>
    <w:rsid w:val="00E6023C"/>
    <w:rsid w:val="00E607EC"/>
    <w:rsid w:val="00E65E81"/>
    <w:rsid w:val="00E7305A"/>
    <w:rsid w:val="00E814B3"/>
    <w:rsid w:val="00E84814"/>
    <w:rsid w:val="00E96355"/>
    <w:rsid w:val="00EA7E0F"/>
    <w:rsid w:val="00EB152A"/>
    <w:rsid w:val="00EB1750"/>
    <w:rsid w:val="00EB1B28"/>
    <w:rsid w:val="00EB2E6E"/>
    <w:rsid w:val="00EB4E92"/>
    <w:rsid w:val="00EC787A"/>
    <w:rsid w:val="00EE18A3"/>
    <w:rsid w:val="00EE4134"/>
    <w:rsid w:val="00EE5B47"/>
    <w:rsid w:val="00EE7943"/>
    <w:rsid w:val="00EF3913"/>
    <w:rsid w:val="00F025C2"/>
    <w:rsid w:val="00F053E2"/>
    <w:rsid w:val="00F1220A"/>
    <w:rsid w:val="00F12A21"/>
    <w:rsid w:val="00F21F6F"/>
    <w:rsid w:val="00F2504B"/>
    <w:rsid w:val="00F31D35"/>
    <w:rsid w:val="00F328B2"/>
    <w:rsid w:val="00F34CD7"/>
    <w:rsid w:val="00F41CC5"/>
    <w:rsid w:val="00F44D05"/>
    <w:rsid w:val="00F45626"/>
    <w:rsid w:val="00F45CE6"/>
    <w:rsid w:val="00F50EFB"/>
    <w:rsid w:val="00F516D9"/>
    <w:rsid w:val="00F51C28"/>
    <w:rsid w:val="00F51E71"/>
    <w:rsid w:val="00F5448A"/>
    <w:rsid w:val="00F55A7E"/>
    <w:rsid w:val="00F57F0C"/>
    <w:rsid w:val="00F6067F"/>
    <w:rsid w:val="00F618B3"/>
    <w:rsid w:val="00F61F19"/>
    <w:rsid w:val="00F62A60"/>
    <w:rsid w:val="00F631A2"/>
    <w:rsid w:val="00F64C20"/>
    <w:rsid w:val="00F73167"/>
    <w:rsid w:val="00F7556F"/>
    <w:rsid w:val="00F83253"/>
    <w:rsid w:val="00FA1445"/>
    <w:rsid w:val="00FA37EC"/>
    <w:rsid w:val="00FA3B60"/>
    <w:rsid w:val="00FA42DE"/>
    <w:rsid w:val="00FA46C5"/>
    <w:rsid w:val="00FC0896"/>
    <w:rsid w:val="00FC118A"/>
    <w:rsid w:val="00FC78D5"/>
    <w:rsid w:val="00FD02C0"/>
    <w:rsid w:val="00FD2087"/>
    <w:rsid w:val="00FD2AAA"/>
    <w:rsid w:val="00FE2178"/>
    <w:rsid w:val="00FE3A0C"/>
    <w:rsid w:val="00FE6267"/>
    <w:rsid w:val="00FE65FF"/>
    <w:rsid w:val="00FE7CCA"/>
    <w:rsid w:val="00FF2576"/>
    <w:rsid w:val="00FF34B5"/>
    <w:rsid w:val="00FF68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80368"/>
  <w15:chartTrackingRefBased/>
  <w15:docId w15:val="{F4EF4D0A-BA96-4DF7-9A1C-C6CC7A5F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854"/>
    <w:rPr>
      <w:rFonts w:eastAsiaTheme="majorEastAsia" w:cstheme="majorBidi"/>
      <w:color w:val="272727" w:themeColor="text1" w:themeTint="D8"/>
    </w:rPr>
  </w:style>
  <w:style w:type="paragraph" w:styleId="Title">
    <w:name w:val="Title"/>
    <w:basedOn w:val="Normal"/>
    <w:next w:val="Normal"/>
    <w:link w:val="TitleChar"/>
    <w:uiPriority w:val="10"/>
    <w:qFormat/>
    <w:rsid w:val="00480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854"/>
    <w:pPr>
      <w:spacing w:before="160"/>
      <w:jc w:val="center"/>
    </w:pPr>
    <w:rPr>
      <w:i/>
      <w:iCs/>
      <w:color w:val="404040" w:themeColor="text1" w:themeTint="BF"/>
    </w:rPr>
  </w:style>
  <w:style w:type="character" w:customStyle="1" w:styleId="QuoteChar">
    <w:name w:val="Quote Char"/>
    <w:basedOn w:val="DefaultParagraphFont"/>
    <w:link w:val="Quote"/>
    <w:uiPriority w:val="29"/>
    <w:rsid w:val="00480854"/>
    <w:rPr>
      <w:i/>
      <w:iCs/>
      <w:color w:val="404040" w:themeColor="text1" w:themeTint="BF"/>
    </w:rPr>
  </w:style>
  <w:style w:type="paragraph" w:styleId="ListParagraph">
    <w:name w:val="List Paragraph"/>
    <w:basedOn w:val="Normal"/>
    <w:uiPriority w:val="34"/>
    <w:qFormat/>
    <w:rsid w:val="00480854"/>
    <w:pPr>
      <w:ind w:left="720"/>
      <w:contextualSpacing/>
    </w:pPr>
  </w:style>
  <w:style w:type="character" w:styleId="IntenseEmphasis">
    <w:name w:val="Intense Emphasis"/>
    <w:basedOn w:val="DefaultParagraphFont"/>
    <w:uiPriority w:val="21"/>
    <w:qFormat/>
    <w:rsid w:val="00480854"/>
    <w:rPr>
      <w:i/>
      <w:iCs/>
      <w:color w:val="0F4761" w:themeColor="accent1" w:themeShade="BF"/>
    </w:rPr>
  </w:style>
  <w:style w:type="paragraph" w:styleId="IntenseQuote">
    <w:name w:val="Intense Quote"/>
    <w:basedOn w:val="Normal"/>
    <w:next w:val="Normal"/>
    <w:link w:val="IntenseQuoteChar"/>
    <w:uiPriority w:val="30"/>
    <w:qFormat/>
    <w:rsid w:val="00480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854"/>
    <w:rPr>
      <w:i/>
      <w:iCs/>
      <w:color w:val="0F4761" w:themeColor="accent1" w:themeShade="BF"/>
    </w:rPr>
  </w:style>
  <w:style w:type="character" w:styleId="IntenseReference">
    <w:name w:val="Intense Reference"/>
    <w:basedOn w:val="DefaultParagraphFont"/>
    <w:uiPriority w:val="32"/>
    <w:qFormat/>
    <w:rsid w:val="00480854"/>
    <w:rPr>
      <w:b/>
      <w:bCs/>
      <w:smallCaps/>
      <w:color w:val="0F4761" w:themeColor="accent1" w:themeShade="BF"/>
      <w:spacing w:val="5"/>
    </w:rPr>
  </w:style>
  <w:style w:type="character" w:styleId="PlaceholderText">
    <w:name w:val="Placeholder Text"/>
    <w:basedOn w:val="DefaultParagraphFont"/>
    <w:uiPriority w:val="99"/>
    <w:semiHidden/>
    <w:rsid w:val="003777B6"/>
    <w:rPr>
      <w:color w:val="666666"/>
    </w:rPr>
  </w:style>
  <w:style w:type="character" w:styleId="Hyperlink">
    <w:name w:val="Hyperlink"/>
    <w:basedOn w:val="DefaultParagraphFont"/>
    <w:uiPriority w:val="99"/>
    <w:unhideWhenUsed/>
    <w:rsid w:val="00BE2BB9"/>
    <w:rPr>
      <w:color w:val="467886" w:themeColor="hyperlink"/>
      <w:u w:val="single"/>
    </w:rPr>
  </w:style>
  <w:style w:type="table" w:styleId="TableGrid">
    <w:name w:val="Table Grid"/>
    <w:basedOn w:val="TableNormal"/>
    <w:uiPriority w:val="39"/>
    <w:rsid w:val="00564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D3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s.gov.uk/peoplepopulationandcommunity/healthandsocialcare/healthandlifeexpectancies/bulletins/adultsmokinghabitsingreatbritain/2023"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ov.uk/government/publications/delivering-better-oral-health" TargetMode="External"/><Relationship Id="rId12" Type="http://schemas.openxmlformats.org/officeDocument/2006/relationships/hyperlink" Target="https://www.gov.uk/government/statistics/gdp-deflators-at-market-prices-and-money-gdp-march-2025-spring-statement-quarterly-national-accoun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ns.gov.uk/peoplepopulationandcommunity/populationandmigration/populationprojections/datasets/regionsinenglandtable1" TargetMode="External"/><Relationship Id="rId11" Type="http://schemas.openxmlformats.org/officeDocument/2006/relationships/hyperlink" Target="https://www.alzheimers.org.uk/sites/default/files/2024-05/the-annual-costs-of-dementia.pdf?utm_source=chatgpt.com" TargetMode="External"/><Relationship Id="rId5" Type="http://schemas.openxmlformats.org/officeDocument/2006/relationships/hyperlink" Target="https://digital.nhs.uk/data-and-information/publications/statistical/primary-care-dementia-data/december-2023?utm_source=chatgpt.com" TargetMode="External"/><Relationship Id="rId10" Type="http://schemas.openxmlformats.org/officeDocument/2006/relationships/hyperlink" Target="https://fingertips.phe.org.uk/profile/diabetes-ft/data" TargetMode="External"/><Relationship Id="rId4" Type="http://schemas.openxmlformats.org/officeDocument/2006/relationships/hyperlink" Target="https://www.ons.gov.uk/peoplepopulationandcommunity/populationandmigration/populationestimates/datasets/estimatesofthepopulationforenglandandwales" TargetMode="External"/><Relationship Id="rId9" Type="http://schemas.openxmlformats.org/officeDocument/2006/relationships/hyperlink" Target="https://www.bhf.org.uk/-/media/files/for-professionals/research/heart-statistics/bhf-statistics-compendium-202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2606</Words>
  <Characters>16239</Characters>
  <Application>Microsoft Office Word</Application>
  <DocSecurity>0</DocSecurity>
  <Lines>261</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Coote</dc:creator>
  <cp:keywords/>
  <dc:description/>
  <cp:lastModifiedBy>Edward Coote</cp:lastModifiedBy>
  <cp:revision>661</cp:revision>
  <dcterms:created xsi:type="dcterms:W3CDTF">2025-10-15T15:53:00Z</dcterms:created>
  <dcterms:modified xsi:type="dcterms:W3CDTF">2025-11-19T12:35:00Z</dcterms:modified>
</cp:coreProperties>
</file>