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3636" w14:textId="2D986707" w:rsidR="00F36CFF" w:rsidRPr="00F36CFF" w:rsidRDefault="00F36CFF" w:rsidP="00F36CFF">
      <w:pPr>
        <w:ind w:left="1080" w:hanging="720"/>
        <w:jc w:val="center"/>
        <w:rPr>
          <w:b/>
          <w:sz w:val="28"/>
          <w:szCs w:val="28"/>
        </w:rPr>
      </w:pPr>
      <w:r w:rsidRPr="00F36CFF">
        <w:rPr>
          <w:b/>
          <w:sz w:val="28"/>
          <w:szCs w:val="28"/>
        </w:rPr>
        <w:t>DETERMINANTS OF NATURAL GAS PRICES IN THE UNITED STATES – A STRUCTURAL VAR APPROACH</w:t>
      </w:r>
    </w:p>
    <w:p w14:paraId="01F00DCC" w14:textId="43E98B99" w:rsidR="00F36CFF" w:rsidRPr="003D1FC3" w:rsidRDefault="00F36CFF" w:rsidP="00F36CFF">
      <w:pPr>
        <w:jc w:val="center"/>
        <w:rPr>
          <w:b/>
          <w:sz w:val="28"/>
          <w:szCs w:val="28"/>
        </w:rPr>
      </w:pPr>
    </w:p>
    <w:p w14:paraId="714E046D" w14:textId="77777777" w:rsidR="00F36CFF" w:rsidRDefault="00F36CFF" w:rsidP="00F36CFF">
      <w:pPr>
        <w:jc w:val="center"/>
        <w:rPr>
          <w:b/>
          <w:sz w:val="28"/>
          <w:szCs w:val="28"/>
        </w:rPr>
      </w:pPr>
    </w:p>
    <w:p w14:paraId="590CC814" w14:textId="77777777" w:rsidR="00F36CFF" w:rsidRDefault="00F36CFF" w:rsidP="00F36CFF">
      <w:pPr>
        <w:jc w:val="center"/>
        <w:rPr>
          <w:b/>
          <w:sz w:val="28"/>
          <w:szCs w:val="28"/>
        </w:rPr>
      </w:pPr>
    </w:p>
    <w:p w14:paraId="5A648932" w14:textId="5B6784D4" w:rsidR="00F36CFF" w:rsidRPr="00026D16" w:rsidRDefault="009C63F6" w:rsidP="00F36CFF">
      <w:pPr>
        <w:jc w:val="center"/>
      </w:pPr>
      <w:r>
        <w:t>Dixon</w:t>
      </w:r>
      <w:r w:rsidR="00F36CFF" w:rsidRPr="00026D16">
        <w:t xml:space="preserve"> </w:t>
      </w:r>
      <w:proofErr w:type="spellStart"/>
      <w:r>
        <w:t>Domfeh</w:t>
      </w:r>
      <w:proofErr w:type="spellEnd"/>
    </w:p>
    <w:p w14:paraId="5DF02C83" w14:textId="77777777" w:rsidR="00F36CFF" w:rsidRDefault="00F36CFF" w:rsidP="00F36CFF">
      <w:pPr>
        <w:rPr>
          <w:b/>
          <w:sz w:val="28"/>
          <w:szCs w:val="28"/>
        </w:rPr>
      </w:pPr>
    </w:p>
    <w:p w14:paraId="61E88643" w14:textId="77777777" w:rsidR="00F36CFF" w:rsidRDefault="00F36CFF" w:rsidP="00F36CFF">
      <w:pPr>
        <w:rPr>
          <w:b/>
          <w:sz w:val="28"/>
          <w:szCs w:val="28"/>
        </w:rPr>
      </w:pPr>
    </w:p>
    <w:p w14:paraId="3073AF07" w14:textId="77777777" w:rsidR="00F36CFF" w:rsidRDefault="00F36CFF" w:rsidP="00F36CFF">
      <w:pPr>
        <w:rPr>
          <w:b/>
          <w:sz w:val="28"/>
          <w:szCs w:val="28"/>
        </w:rPr>
      </w:pPr>
    </w:p>
    <w:p w14:paraId="610E6E97" w14:textId="77777777" w:rsidR="00F36CFF" w:rsidRDefault="00F36CFF" w:rsidP="00F36CFF">
      <w:pPr>
        <w:rPr>
          <w:b/>
          <w:sz w:val="28"/>
          <w:szCs w:val="28"/>
        </w:rPr>
      </w:pPr>
      <w:r w:rsidRPr="003D1FC3">
        <w:rPr>
          <w:b/>
          <w:sz w:val="28"/>
          <w:szCs w:val="28"/>
        </w:rPr>
        <w:t xml:space="preserve"> </w:t>
      </w:r>
    </w:p>
    <w:p w14:paraId="01B588E7" w14:textId="77777777" w:rsidR="00F36CFF" w:rsidRDefault="00F36CFF" w:rsidP="00F36CFF">
      <w:pPr>
        <w:jc w:val="center"/>
        <w:rPr>
          <w:b/>
          <w:sz w:val="28"/>
          <w:szCs w:val="28"/>
        </w:rPr>
      </w:pPr>
    </w:p>
    <w:p w14:paraId="2C51A491" w14:textId="77777777" w:rsidR="00F36CFF" w:rsidRDefault="00F36CFF" w:rsidP="00F36CFF">
      <w:pPr>
        <w:rPr>
          <w:b/>
          <w:sz w:val="28"/>
          <w:szCs w:val="28"/>
        </w:rPr>
      </w:pPr>
    </w:p>
    <w:p w14:paraId="53230D51" w14:textId="77777777" w:rsidR="00F36CFF" w:rsidRPr="009C713C" w:rsidRDefault="00F36CFF" w:rsidP="00F36CFF">
      <w:pPr>
        <w:rPr>
          <w:b/>
          <w:sz w:val="28"/>
          <w:szCs w:val="28"/>
        </w:rPr>
      </w:pPr>
      <w:r w:rsidRPr="009C713C">
        <w:rPr>
          <w:b/>
          <w:sz w:val="28"/>
          <w:szCs w:val="28"/>
        </w:rPr>
        <w:t>Abstract</w:t>
      </w:r>
    </w:p>
    <w:p w14:paraId="02C2C794" w14:textId="77777777" w:rsidR="00F36CFF" w:rsidRPr="009C713C" w:rsidRDefault="00F36CFF" w:rsidP="00F36CFF">
      <w:pPr>
        <w:rPr>
          <w:b/>
          <w:sz w:val="28"/>
          <w:szCs w:val="28"/>
        </w:rPr>
      </w:pPr>
    </w:p>
    <w:p w14:paraId="21F31E53" w14:textId="1F538DA4" w:rsidR="00F36CFF" w:rsidRPr="00EC6D5B" w:rsidRDefault="00D91A73" w:rsidP="00F36CFF">
      <w:pPr>
        <w:spacing w:line="480" w:lineRule="auto"/>
        <w:ind w:firstLine="720"/>
        <w:jc w:val="both"/>
        <w:rPr>
          <w:i/>
        </w:rPr>
      </w:pPr>
      <w:r>
        <w:rPr>
          <w:i/>
        </w:rPr>
        <w:t>This</w:t>
      </w:r>
      <w:r w:rsidR="00F36CFF" w:rsidRPr="00EC6D5B">
        <w:rPr>
          <w:i/>
        </w:rPr>
        <w:t xml:space="preserve"> </w:t>
      </w:r>
      <w:r w:rsidR="00F36CFF">
        <w:rPr>
          <w:i/>
        </w:rPr>
        <w:t>study</w:t>
      </w:r>
      <w:r>
        <w:rPr>
          <w:i/>
        </w:rPr>
        <w:t xml:space="preserve"> examines</w:t>
      </w:r>
      <w:r w:rsidR="00F36CFF">
        <w:rPr>
          <w:i/>
        </w:rPr>
        <w:t xml:space="preserve"> the dynamic economic relationships between the fundamental variables that influence natural gas prices within the </w:t>
      </w:r>
      <w:r>
        <w:rPr>
          <w:i/>
        </w:rPr>
        <w:t>U.S.</w:t>
      </w:r>
      <w:r w:rsidR="00F36CFF">
        <w:rPr>
          <w:i/>
        </w:rPr>
        <w:t xml:space="preserve"> market. I utilize a structural vector autoregressive</w:t>
      </w:r>
      <w:r w:rsidR="00F36CFF" w:rsidRPr="00EC6D5B">
        <w:rPr>
          <w:i/>
        </w:rPr>
        <w:t xml:space="preserve"> </w:t>
      </w:r>
      <w:r w:rsidR="00F36CFF">
        <w:rPr>
          <w:i/>
        </w:rPr>
        <w:t xml:space="preserve">(VAR) and Markov switching models to investigate the impact and stability of regime switches between the main drivers of natural gas prices. The results reveal that the </w:t>
      </w:r>
      <w:r>
        <w:rPr>
          <w:i/>
        </w:rPr>
        <w:t>U.S.</w:t>
      </w:r>
      <w:r w:rsidR="00F36CFF">
        <w:rPr>
          <w:i/>
        </w:rPr>
        <w:t xml:space="preserve"> gas market is sensitive to temperature deviations in the </w:t>
      </w:r>
      <w:r>
        <w:rPr>
          <w:i/>
        </w:rPr>
        <w:t>short term</w:t>
      </w:r>
      <w:r w:rsidR="00F36CFF">
        <w:rPr>
          <w:i/>
        </w:rPr>
        <w:t xml:space="preserve">. Crude oil and coal prices have </w:t>
      </w:r>
      <w:r>
        <w:rPr>
          <w:i/>
        </w:rPr>
        <w:t>long-run</w:t>
      </w:r>
      <w:r w:rsidR="00F36CFF">
        <w:rPr>
          <w:i/>
        </w:rPr>
        <w:t xml:space="preserve"> effects on natural gas prices</w:t>
      </w:r>
      <w:r>
        <w:rPr>
          <w:i/>
        </w:rPr>
        <w:t>,</w:t>
      </w:r>
      <w:r w:rsidR="00F36CFF">
        <w:rPr>
          <w:i/>
        </w:rPr>
        <w:t xml:space="preserve"> emphasizing energy-specific demand shocks. </w:t>
      </w:r>
      <w:r>
        <w:rPr>
          <w:i/>
        </w:rPr>
        <w:t>Mainly</w:t>
      </w:r>
      <w:r w:rsidR="00F36CFF">
        <w:rPr>
          <w:i/>
        </w:rPr>
        <w:t xml:space="preserve">, coal prices </w:t>
      </w:r>
      <w:r w:rsidR="00F36CFF" w:rsidRPr="00F36CFF">
        <w:rPr>
          <w:i/>
        </w:rPr>
        <w:t>determine about 73% of gas price variability for the sample period</w:t>
      </w:r>
      <w:r w:rsidR="00F36CFF">
        <w:rPr>
          <w:i/>
        </w:rPr>
        <w:t xml:space="preserve"> with three discernable regime switches.</w:t>
      </w:r>
    </w:p>
    <w:p w14:paraId="138B6903" w14:textId="77777777" w:rsidR="00F36CFF" w:rsidRPr="009C713C" w:rsidRDefault="00F36CFF" w:rsidP="00F36CFF">
      <w:pPr>
        <w:spacing w:line="480" w:lineRule="auto"/>
      </w:pPr>
    </w:p>
    <w:p w14:paraId="664860C2" w14:textId="6E3B5E3E" w:rsidR="00F36CFF" w:rsidRPr="009C713C" w:rsidRDefault="00F36CFF" w:rsidP="00F36CFF">
      <w:pPr>
        <w:spacing w:line="480" w:lineRule="auto"/>
      </w:pPr>
      <w:r w:rsidRPr="009C713C">
        <w:t xml:space="preserve">Keywords: </w:t>
      </w:r>
      <w:r>
        <w:t>Natural gas, Structural VAR, Markov Switching, Weather, Storage</w:t>
      </w:r>
      <w:r w:rsidRPr="009C713C">
        <w:t>.</w:t>
      </w:r>
    </w:p>
    <w:p w14:paraId="01B4EAC7" w14:textId="351CDAA6" w:rsidR="00F36CFF" w:rsidRPr="009C713C" w:rsidRDefault="00F36CFF" w:rsidP="00F36CFF">
      <w:pPr>
        <w:spacing w:line="480" w:lineRule="auto"/>
      </w:pPr>
      <w:r w:rsidRPr="009C713C">
        <w:t xml:space="preserve">JEL Classifications: </w:t>
      </w:r>
      <w:r w:rsidR="00BF5C1B">
        <w:t xml:space="preserve">C32, E32, G13, </w:t>
      </w:r>
      <w:r>
        <w:t>Q</w:t>
      </w:r>
      <w:r w:rsidR="00BF5C1B">
        <w:t>40</w:t>
      </w:r>
      <w:r>
        <w:t xml:space="preserve"> </w:t>
      </w:r>
    </w:p>
    <w:p w14:paraId="6D71FC98" w14:textId="48F4426A" w:rsidR="00F36CFF" w:rsidRDefault="00F36CFF" w:rsidP="00F36CFF">
      <w:r>
        <w:br w:type="page"/>
      </w:r>
    </w:p>
    <w:p w14:paraId="14E74AB2" w14:textId="2BDAD414" w:rsidR="009055B2" w:rsidRDefault="009055B2" w:rsidP="007E5DC9">
      <w:pPr>
        <w:pStyle w:val="Heading1"/>
        <w:numPr>
          <w:ilvl w:val="0"/>
          <w:numId w:val="5"/>
        </w:numPr>
        <w:rPr>
          <w:rFonts w:ascii="Times New Roman" w:hAnsi="Times New Roman" w:cs="Times New Roman"/>
        </w:rPr>
      </w:pPr>
      <w:r w:rsidRPr="00C1178E">
        <w:rPr>
          <w:rFonts w:ascii="Times New Roman" w:hAnsi="Times New Roman" w:cs="Times New Roman"/>
        </w:rPr>
        <w:lastRenderedPageBreak/>
        <w:t>Introduction</w:t>
      </w:r>
    </w:p>
    <w:p w14:paraId="52821CFF" w14:textId="77777777" w:rsidR="00C1178E" w:rsidRPr="00C1178E" w:rsidRDefault="00C1178E" w:rsidP="00C1178E">
      <w:pPr>
        <w:rPr>
          <w:lang w:bidi="en-US"/>
        </w:rPr>
      </w:pPr>
    </w:p>
    <w:p w14:paraId="04F125A2" w14:textId="207FDA0C" w:rsidR="004C0E76" w:rsidRDefault="004C0E76" w:rsidP="004C0E76">
      <w:pPr>
        <w:spacing w:line="480" w:lineRule="auto"/>
        <w:ind w:firstLine="720"/>
        <w:jc w:val="both"/>
        <w:rPr>
          <w:rFonts w:ascii="Times" w:hAnsi="Times"/>
        </w:rPr>
      </w:pPr>
      <w:r>
        <w:rPr>
          <w:rFonts w:ascii="Times" w:hAnsi="Times"/>
        </w:rPr>
        <w:t xml:space="preserve">I aim to examine the dynamic interactions between the fundamental drivers of natural gas prices. The price of natural gas is </w:t>
      </w:r>
      <w:r w:rsidR="00D91A73">
        <w:rPr>
          <w:rFonts w:ascii="Times" w:hAnsi="Times"/>
        </w:rPr>
        <w:t>relevant</w:t>
      </w:r>
      <w:r>
        <w:rPr>
          <w:rFonts w:ascii="Times" w:hAnsi="Times"/>
        </w:rPr>
        <w:t xml:space="preserve"> to various stakeholders due to </w:t>
      </w:r>
      <w:r w:rsidR="00D91A73">
        <w:rPr>
          <w:rFonts w:ascii="Times" w:hAnsi="Times"/>
        </w:rPr>
        <w:t>its</w:t>
      </w:r>
      <w:r>
        <w:rPr>
          <w:rFonts w:ascii="Times" w:hAnsi="Times"/>
        </w:rPr>
        <w:t xml:space="preserve"> crucial role in the heating and cooling market </w:t>
      </w:r>
      <w:r w:rsidR="00D91A73">
        <w:rPr>
          <w:rFonts w:ascii="Times" w:hAnsi="Times"/>
        </w:rPr>
        <w:t>and</w:t>
      </w:r>
      <w:r>
        <w:rPr>
          <w:rFonts w:ascii="Times" w:hAnsi="Times"/>
        </w:rPr>
        <w:t xml:space="preserve"> </w:t>
      </w:r>
      <w:r w:rsidR="00D91A73">
        <w:rPr>
          <w:rFonts w:ascii="Times" w:hAnsi="Times"/>
        </w:rPr>
        <w:t>its</w:t>
      </w:r>
      <w:r>
        <w:rPr>
          <w:rFonts w:ascii="Times" w:hAnsi="Times"/>
        </w:rPr>
        <w:t xml:space="preserve"> input in electricity production. Therefore, understanding the price formation of natural gas is relevant from a </w:t>
      </w:r>
      <w:r w:rsidR="00D91A73">
        <w:rPr>
          <w:rFonts w:ascii="Times" w:hAnsi="Times"/>
        </w:rPr>
        <w:t>macro-and</w:t>
      </w:r>
      <w:r>
        <w:rPr>
          <w:rFonts w:ascii="Times" w:hAnsi="Times"/>
        </w:rPr>
        <w:t xml:space="preserve"> </w:t>
      </w:r>
      <w:r w:rsidR="00D91A73">
        <w:rPr>
          <w:rFonts w:ascii="Times" w:hAnsi="Times"/>
        </w:rPr>
        <w:t>microeconomic</w:t>
      </w:r>
      <w:r>
        <w:rPr>
          <w:rFonts w:ascii="Times" w:hAnsi="Times"/>
        </w:rPr>
        <w:t xml:space="preserve"> perspective. However, the price development is complex since markets are faced with a variety of specific supply and demand characteristics such as weather conditions, cross-commodity substitution effects, storage shocks</w:t>
      </w:r>
      <w:r w:rsidR="00D91A73">
        <w:rPr>
          <w:rFonts w:ascii="Times" w:hAnsi="Times"/>
        </w:rPr>
        <w:t>,</w:t>
      </w:r>
      <w:r>
        <w:rPr>
          <w:rFonts w:ascii="Times" w:hAnsi="Times"/>
        </w:rPr>
        <w:t xml:space="preserve"> and business cycles. </w:t>
      </w:r>
    </w:p>
    <w:p w14:paraId="64C2CC9C" w14:textId="118DCB31" w:rsidR="004C0E76" w:rsidRDefault="004C0E76" w:rsidP="004C0E76">
      <w:pPr>
        <w:spacing w:line="480" w:lineRule="auto"/>
        <w:ind w:firstLine="720"/>
        <w:jc w:val="both"/>
        <w:rPr>
          <w:rFonts w:ascii="Times" w:hAnsi="Times"/>
        </w:rPr>
      </w:pPr>
      <w:r>
        <w:rPr>
          <w:rFonts w:ascii="Times" w:hAnsi="Times"/>
        </w:rPr>
        <w:t xml:space="preserve">In this research, I identify five fundamental drivers of natural gas prices in the </w:t>
      </w:r>
      <w:r w:rsidR="00D91A73">
        <w:rPr>
          <w:rFonts w:ascii="Times" w:hAnsi="Times"/>
        </w:rPr>
        <w:t>U.S.</w:t>
      </w:r>
      <w:r>
        <w:rPr>
          <w:rFonts w:ascii="Times" w:hAnsi="Times"/>
        </w:rPr>
        <w:t xml:space="preserve"> gas market. The supply and demand interactions of temperature and storage deviations, short-term interest rate, coal</w:t>
      </w:r>
      <w:r w:rsidR="00D91A73">
        <w:rPr>
          <w:rFonts w:ascii="Times" w:hAnsi="Times"/>
        </w:rPr>
        <w:t>,</w:t>
      </w:r>
      <w:r>
        <w:rPr>
          <w:rFonts w:ascii="Times" w:hAnsi="Times"/>
        </w:rPr>
        <w:t xml:space="preserve"> and crude oil prices are analyzed as variables that affect natural gas prices. I develop a structural </w:t>
      </w:r>
      <w:r w:rsidR="005B2D74">
        <w:rPr>
          <w:rFonts w:ascii="Times" w:hAnsi="Times"/>
        </w:rPr>
        <w:t xml:space="preserve">vector </w:t>
      </w:r>
      <w:r>
        <w:rPr>
          <w:rFonts w:ascii="Times" w:hAnsi="Times"/>
        </w:rPr>
        <w:t>autoregressive model (VAR) and a Markov Switching process</w:t>
      </w:r>
      <w:r w:rsidR="00D91A73">
        <w:rPr>
          <w:rFonts w:ascii="Times" w:hAnsi="Times"/>
        </w:rPr>
        <w:t xml:space="preserve"> to investigate the phenomena</w:t>
      </w:r>
      <w:r>
        <w:rPr>
          <w:rFonts w:ascii="Times" w:hAnsi="Times"/>
        </w:rPr>
        <w:t xml:space="preserve">. The models yield insights into the dynamic relationship between the variables under study. The impulse response simulations from the VAR model are consistent with economic reasoning, implying that natural gas prices react to underlying supply and demand </w:t>
      </w:r>
      <w:r w:rsidR="005B2D74">
        <w:rPr>
          <w:rFonts w:ascii="Times" w:hAnsi="Times"/>
        </w:rPr>
        <w:t>shocks</w:t>
      </w:r>
      <w:r>
        <w:rPr>
          <w:rFonts w:ascii="Times" w:hAnsi="Times"/>
        </w:rPr>
        <w:t>. Natural gas prices rise in reaction to abnormal temperatures</w:t>
      </w:r>
      <w:r w:rsidR="00D91A73">
        <w:rPr>
          <w:rFonts w:ascii="Times" w:hAnsi="Times"/>
        </w:rPr>
        <w:t>,</w:t>
      </w:r>
      <w:r>
        <w:rPr>
          <w:rFonts w:ascii="Times" w:hAnsi="Times"/>
        </w:rPr>
        <w:t xml:space="preserve"> which increases heating and cooling demands in the </w:t>
      </w:r>
      <w:r w:rsidR="00D91A73">
        <w:rPr>
          <w:rFonts w:ascii="Times" w:hAnsi="Times"/>
        </w:rPr>
        <w:t>short term</w:t>
      </w:r>
      <w:r>
        <w:rPr>
          <w:rFonts w:ascii="Times" w:hAnsi="Times"/>
        </w:rPr>
        <w:t>. The response of gas prices to structural shocks of storage is insignificant from this study. However, the empirical results reveal that storage level depletes through withdrawals in response to extraordinary temperatures</w:t>
      </w:r>
      <w:r w:rsidR="00D91A73">
        <w:rPr>
          <w:rFonts w:ascii="Times" w:hAnsi="Times"/>
        </w:rPr>
        <w:t>,</w:t>
      </w:r>
      <w:r>
        <w:rPr>
          <w:rFonts w:ascii="Times" w:hAnsi="Times"/>
        </w:rPr>
        <w:t xml:space="preserve"> which increase</w:t>
      </w:r>
      <w:r w:rsidR="002F2479">
        <w:rPr>
          <w:rFonts w:ascii="Times" w:hAnsi="Times"/>
        </w:rPr>
        <w:t>s</w:t>
      </w:r>
      <w:r>
        <w:rPr>
          <w:rFonts w:ascii="Times" w:hAnsi="Times"/>
        </w:rPr>
        <w:t xml:space="preserve"> demand for heating or cooling. Coal and crude oil price shocks show long-term effects on the natural gas price formation. </w:t>
      </w:r>
    </w:p>
    <w:p w14:paraId="4EC0A7FC" w14:textId="77777777" w:rsidR="004C0E76" w:rsidRDefault="004C0E76" w:rsidP="004C0E76">
      <w:pPr>
        <w:spacing w:line="480" w:lineRule="auto"/>
        <w:ind w:firstLine="720"/>
        <w:jc w:val="both"/>
        <w:rPr>
          <w:rFonts w:ascii="Times" w:hAnsi="Times"/>
        </w:rPr>
      </w:pPr>
    </w:p>
    <w:p w14:paraId="4CE3B4F3" w14:textId="7CA76D1A" w:rsidR="004C0E76" w:rsidRDefault="004C0E76" w:rsidP="004C0E76">
      <w:pPr>
        <w:spacing w:line="480" w:lineRule="auto"/>
        <w:ind w:firstLine="720"/>
        <w:jc w:val="both"/>
        <w:rPr>
          <w:rFonts w:ascii="Times" w:hAnsi="Times"/>
        </w:rPr>
      </w:pPr>
      <w:r>
        <w:rPr>
          <w:rFonts w:ascii="Times" w:hAnsi="Times"/>
        </w:rPr>
        <w:lastRenderedPageBreak/>
        <w:t xml:space="preserve">A </w:t>
      </w:r>
      <w:r w:rsidR="00D91A73">
        <w:rPr>
          <w:rFonts w:ascii="Times" w:hAnsi="Times"/>
        </w:rPr>
        <w:t>significant</w:t>
      </w:r>
      <w:r>
        <w:rPr>
          <w:rFonts w:ascii="Times" w:hAnsi="Times"/>
        </w:rPr>
        <w:t xml:space="preserve"> contribution of this research is </w:t>
      </w:r>
      <w:r w:rsidR="00D91A73">
        <w:rPr>
          <w:rFonts w:ascii="Times" w:hAnsi="Times"/>
        </w:rPr>
        <w:t>identifying</w:t>
      </w:r>
      <w:r>
        <w:rPr>
          <w:rFonts w:ascii="Times" w:hAnsi="Times"/>
        </w:rPr>
        <w:t xml:space="preserve"> the distinct contributive effects of the different variables on natural gas prices. I find coal prices </w:t>
      </w:r>
      <w:r w:rsidR="005B2D74">
        <w:rPr>
          <w:rFonts w:ascii="Times" w:hAnsi="Times"/>
        </w:rPr>
        <w:t xml:space="preserve">to </w:t>
      </w:r>
      <w:r w:rsidR="00C1178E">
        <w:rPr>
          <w:rFonts w:ascii="Times" w:hAnsi="Times"/>
        </w:rPr>
        <w:t xml:space="preserve">determine about 73% </w:t>
      </w:r>
      <w:r w:rsidR="005B2D74">
        <w:rPr>
          <w:rFonts w:ascii="Times" w:hAnsi="Times"/>
        </w:rPr>
        <w:t>of gas price variability for</w:t>
      </w:r>
      <w:r w:rsidR="00C1178E">
        <w:rPr>
          <w:rFonts w:ascii="Times" w:hAnsi="Times"/>
        </w:rPr>
        <w:t xml:space="preserve"> the sample period, unambiguously making it a systematic determinant of natural gas prices</w:t>
      </w:r>
      <w:r>
        <w:rPr>
          <w:rFonts w:ascii="Times" w:hAnsi="Times"/>
        </w:rPr>
        <w:t>. A three-state Markov switching process between coal and gas prices has been identified with discernable regime switches.</w:t>
      </w:r>
    </w:p>
    <w:p w14:paraId="44942911" w14:textId="2C6E848F" w:rsidR="004C0E76" w:rsidRDefault="004C0E76" w:rsidP="004C0E76">
      <w:pPr>
        <w:spacing w:line="480" w:lineRule="auto"/>
        <w:ind w:firstLine="720"/>
        <w:jc w:val="both"/>
        <w:rPr>
          <w:rFonts w:ascii="Times" w:hAnsi="Times"/>
          <w:noProof/>
        </w:rPr>
      </w:pPr>
      <w:r>
        <w:rPr>
          <w:rFonts w:ascii="Times" w:hAnsi="Times"/>
        </w:rPr>
        <w:t xml:space="preserve">The finding that coal price is the </w:t>
      </w:r>
      <w:r w:rsidR="00D91A73">
        <w:rPr>
          <w:rFonts w:ascii="Times" w:hAnsi="Times"/>
        </w:rPr>
        <w:t>primary</w:t>
      </w:r>
      <w:r>
        <w:rPr>
          <w:rFonts w:ascii="Times" w:hAnsi="Times"/>
        </w:rPr>
        <w:t xml:space="preserve"> influencer of natural gas prices may challenge the existing idea of crude oil being the </w:t>
      </w:r>
      <w:r w:rsidR="00D91A73">
        <w:rPr>
          <w:rFonts w:ascii="Times" w:hAnsi="Times"/>
        </w:rPr>
        <w:t>only</w:t>
      </w:r>
      <w:r>
        <w:rPr>
          <w:rFonts w:ascii="Times" w:hAnsi="Times"/>
        </w:rPr>
        <w:t xml:space="preserve"> explanatory variable in gas price formation. For example, Hartley and Medlock (2014), Brown and </w:t>
      </w:r>
      <w:proofErr w:type="spellStart"/>
      <w:r>
        <w:rPr>
          <w:rFonts w:ascii="Times" w:hAnsi="Times"/>
        </w:rPr>
        <w:t>Yücel</w:t>
      </w:r>
      <w:proofErr w:type="spellEnd"/>
      <w:r>
        <w:rPr>
          <w:rFonts w:ascii="Times" w:hAnsi="Times"/>
        </w:rPr>
        <w:t xml:space="preserve"> (2008) argue that gas and crude oil prices are cointegrated in the short and long run. However, the stability of this cointegration dynamics is not stable over time. Ramberg and Parsons (2012) a</w:t>
      </w:r>
      <w:r w:rsidR="005A49D6">
        <w:rPr>
          <w:rFonts w:ascii="Times" w:hAnsi="Times"/>
        </w:rPr>
        <w:t xml:space="preserve">nd </w:t>
      </w:r>
      <w:r w:rsidRPr="004C0E76">
        <w:rPr>
          <w:rFonts w:ascii="Times" w:hAnsi="Times"/>
          <w:noProof/>
        </w:rPr>
        <w:t>Wang</w:t>
      </w:r>
      <w:r>
        <w:rPr>
          <w:rFonts w:ascii="Times" w:hAnsi="Times"/>
          <w:noProof/>
        </w:rPr>
        <w:t xml:space="preserve"> </w:t>
      </w:r>
      <w:r w:rsidR="00D91A73">
        <w:rPr>
          <w:rFonts w:ascii="Times" w:hAnsi="Times"/>
          <w:noProof/>
        </w:rPr>
        <w:t>et al.</w:t>
      </w:r>
      <w:r>
        <w:rPr>
          <w:rFonts w:ascii="Times" w:hAnsi="Times"/>
          <w:noProof/>
        </w:rPr>
        <w:t xml:space="preserve"> (</w:t>
      </w:r>
      <w:r w:rsidRPr="004C0E76">
        <w:rPr>
          <w:rFonts w:ascii="Times" w:hAnsi="Times"/>
          <w:noProof/>
        </w:rPr>
        <w:t>2019)</w:t>
      </w:r>
      <w:r>
        <w:rPr>
          <w:rFonts w:ascii="Times" w:hAnsi="Times"/>
          <w:noProof/>
        </w:rPr>
        <w:t xml:space="preserve"> bring to bear that the cointegration relationship between oil and gas in the </w:t>
      </w:r>
      <w:r w:rsidR="00D91A73">
        <w:rPr>
          <w:rFonts w:ascii="Times" w:hAnsi="Times"/>
          <w:noProof/>
        </w:rPr>
        <w:t>U.S.</w:t>
      </w:r>
      <w:r>
        <w:rPr>
          <w:rFonts w:ascii="Times" w:hAnsi="Times"/>
          <w:noProof/>
        </w:rPr>
        <w:t xml:space="preserve"> market decouples over time. Particularly, Wang </w:t>
      </w:r>
      <w:r w:rsidR="00D91A73">
        <w:rPr>
          <w:rFonts w:ascii="Times" w:hAnsi="Times"/>
          <w:noProof/>
        </w:rPr>
        <w:t>et al.</w:t>
      </w:r>
      <w:r>
        <w:rPr>
          <w:rFonts w:ascii="Times" w:hAnsi="Times"/>
          <w:noProof/>
        </w:rPr>
        <w:t xml:space="preserve"> (2019) demonstrate the declining role of oil prices in natural gas pricing mechanism with </w:t>
      </w:r>
      <w:r w:rsidR="00D91A73">
        <w:rPr>
          <w:rFonts w:ascii="Times" w:hAnsi="Times"/>
          <w:noProof/>
        </w:rPr>
        <w:t>time-series</w:t>
      </w:r>
      <w:r>
        <w:rPr>
          <w:rFonts w:ascii="Times" w:hAnsi="Times"/>
          <w:noProof/>
        </w:rPr>
        <w:t xml:space="preserve"> data between 2001 and 2018. This is due to the demise of crude oil indexation of natural gas prices. </w:t>
      </w:r>
    </w:p>
    <w:p w14:paraId="571A970E" w14:textId="3C5F23CD" w:rsidR="00402B23" w:rsidRDefault="00402B23" w:rsidP="00402B23">
      <w:pPr>
        <w:spacing w:line="480" w:lineRule="auto"/>
        <w:ind w:firstLine="360"/>
        <w:jc w:val="both"/>
        <w:rPr>
          <w:rFonts w:ascii="Times" w:hAnsi="Times"/>
        </w:rPr>
      </w:pPr>
      <w:r>
        <w:rPr>
          <w:rFonts w:ascii="Times" w:hAnsi="Times"/>
        </w:rPr>
        <w:t xml:space="preserve">Historically, crude oil prices have been thought to be the most </w:t>
      </w:r>
      <w:r w:rsidR="00D91A73">
        <w:rPr>
          <w:rFonts w:ascii="Times" w:hAnsi="Times"/>
        </w:rPr>
        <w:t>critical</w:t>
      </w:r>
      <w:r>
        <w:rPr>
          <w:rFonts w:ascii="Times" w:hAnsi="Times"/>
        </w:rPr>
        <w:t xml:space="preserve"> factor affecting natural gas prices in the long run. One simple rule of thumb – </w:t>
      </w:r>
      <w:r w:rsidR="00D91A73">
        <w:rPr>
          <w:rFonts w:ascii="Times" w:hAnsi="Times"/>
        </w:rPr>
        <w:t xml:space="preserve">the </w:t>
      </w:r>
      <w:r>
        <w:rPr>
          <w:rFonts w:ascii="Times" w:hAnsi="Times"/>
        </w:rPr>
        <w:t xml:space="preserve">10-to-1 rule under which natural gas price was one-tenth the price of crude oil prevailed in the 1990s (Brown and </w:t>
      </w:r>
      <w:proofErr w:type="spellStart"/>
      <w:r>
        <w:rPr>
          <w:rFonts w:ascii="Times" w:hAnsi="Times"/>
        </w:rPr>
        <w:t>Yücel</w:t>
      </w:r>
      <w:proofErr w:type="spellEnd"/>
      <w:r>
        <w:rPr>
          <w:rFonts w:ascii="Times" w:hAnsi="Times"/>
        </w:rPr>
        <w:t xml:space="preserve">, 2008). This oil-indexation trend has changed in recent years, specifically in the </w:t>
      </w:r>
      <w:r w:rsidR="00D91A73">
        <w:rPr>
          <w:rFonts w:ascii="Times" w:hAnsi="Times"/>
        </w:rPr>
        <w:t>U.S.,</w:t>
      </w:r>
      <w:r>
        <w:rPr>
          <w:rFonts w:ascii="Times" w:hAnsi="Times"/>
        </w:rPr>
        <w:t xml:space="preserve"> due to the shale gas revolution that began in 2005. With the successful application of horizontal drilling and fracking technologies, shale gas production has increased exponentially</w:t>
      </w:r>
      <w:r w:rsidR="00D91A73">
        <w:rPr>
          <w:rFonts w:ascii="Times" w:hAnsi="Times"/>
        </w:rPr>
        <w:t>,</w:t>
      </w:r>
      <w:r>
        <w:rPr>
          <w:rFonts w:ascii="Times" w:hAnsi="Times"/>
        </w:rPr>
        <w:t xml:space="preserve"> accounting for about 79% of total gas supplies in the </w:t>
      </w:r>
      <w:r w:rsidR="00D91A73">
        <w:rPr>
          <w:rFonts w:ascii="Times" w:hAnsi="Times"/>
        </w:rPr>
        <w:t>U.S</w:t>
      </w:r>
      <w:r>
        <w:rPr>
          <w:rFonts w:ascii="Times" w:hAnsi="Times"/>
        </w:rPr>
        <w:t>.</w:t>
      </w:r>
    </w:p>
    <w:p w14:paraId="5BA153D9" w14:textId="77777777" w:rsidR="00402B23" w:rsidRDefault="00402B23" w:rsidP="004C0E76">
      <w:pPr>
        <w:spacing w:line="480" w:lineRule="auto"/>
        <w:ind w:firstLine="720"/>
        <w:jc w:val="both"/>
        <w:rPr>
          <w:rFonts w:ascii="Times" w:hAnsi="Times"/>
          <w:noProof/>
        </w:rPr>
      </w:pPr>
    </w:p>
    <w:p w14:paraId="1AB4E705" w14:textId="36EA1B4C" w:rsidR="004C0E76" w:rsidRPr="005B2D74" w:rsidRDefault="00D91A73" w:rsidP="004C0E76">
      <w:pPr>
        <w:spacing w:line="480" w:lineRule="auto"/>
        <w:ind w:firstLine="720"/>
        <w:jc w:val="both"/>
        <w:rPr>
          <w:rFonts w:ascii="Times" w:hAnsi="Times"/>
          <w:noProof/>
        </w:rPr>
      </w:pPr>
      <w:r>
        <w:rPr>
          <w:rFonts w:ascii="Times" w:hAnsi="Times"/>
          <w:noProof/>
        </w:rPr>
        <w:lastRenderedPageBreak/>
        <w:t>The description</w:t>
      </w:r>
      <w:r w:rsidR="004C0E76" w:rsidRPr="005B2D74">
        <w:rPr>
          <w:rFonts w:ascii="Times" w:hAnsi="Times"/>
          <w:noProof/>
        </w:rPr>
        <w:t xml:space="preserve"> of the data used are discussed in Section II. </w:t>
      </w:r>
      <w:r>
        <w:rPr>
          <w:rFonts w:ascii="Times" w:hAnsi="Times"/>
          <w:noProof/>
        </w:rPr>
        <w:t>Section III outlines the empirical</w:t>
      </w:r>
      <w:r w:rsidR="007E5DC9" w:rsidRPr="005B2D74">
        <w:rPr>
          <w:rFonts w:ascii="Times" w:hAnsi="Times"/>
          <w:noProof/>
        </w:rPr>
        <w:t xml:space="preserve"> methodologies employed in previous research on the natural gas market, </w:t>
      </w:r>
      <w:r w:rsidR="004C0E76" w:rsidRPr="005B2D74">
        <w:rPr>
          <w:rFonts w:ascii="Times" w:hAnsi="Times"/>
          <w:noProof/>
        </w:rPr>
        <w:t>definition</w:t>
      </w:r>
      <w:r>
        <w:rPr>
          <w:rFonts w:ascii="Times" w:hAnsi="Times"/>
          <w:noProof/>
        </w:rPr>
        <w:t>,</w:t>
      </w:r>
      <w:r w:rsidR="004C0E76" w:rsidRPr="005B2D74">
        <w:rPr>
          <w:rFonts w:ascii="Times" w:hAnsi="Times"/>
          <w:noProof/>
        </w:rPr>
        <w:t xml:space="preserve"> and identification of the structural VAR model</w:t>
      </w:r>
      <w:r w:rsidR="007E5DC9" w:rsidRPr="005B2D74">
        <w:rPr>
          <w:rFonts w:ascii="Times" w:hAnsi="Times"/>
          <w:noProof/>
        </w:rPr>
        <w:t>.</w:t>
      </w:r>
      <w:r w:rsidR="00C1178E" w:rsidRPr="005B2D74">
        <w:rPr>
          <w:rFonts w:ascii="Times" w:hAnsi="Times"/>
          <w:noProof/>
        </w:rPr>
        <w:t xml:space="preserve"> </w:t>
      </w:r>
      <w:r w:rsidR="007E5DC9" w:rsidRPr="005B2D74">
        <w:rPr>
          <w:rFonts w:ascii="Times" w:hAnsi="Times"/>
          <w:noProof/>
        </w:rPr>
        <w:t>E</w:t>
      </w:r>
      <w:r w:rsidR="004C0E76" w:rsidRPr="005B2D74">
        <w:rPr>
          <w:rFonts w:ascii="Times" w:hAnsi="Times"/>
          <w:noProof/>
        </w:rPr>
        <w:t xml:space="preserve">mpirical results in the form of impulse responses and Markov switching processes are explained in Section </w:t>
      </w:r>
      <w:r w:rsidR="007E5DC9" w:rsidRPr="005B2D74">
        <w:rPr>
          <w:rFonts w:ascii="Times" w:hAnsi="Times"/>
          <w:noProof/>
        </w:rPr>
        <w:t>I</w:t>
      </w:r>
      <w:r w:rsidR="004C0E76" w:rsidRPr="005B2D74">
        <w:rPr>
          <w:rFonts w:ascii="Times" w:hAnsi="Times"/>
          <w:noProof/>
        </w:rPr>
        <w:t>V. A summary and conclusion are presented in Section V.</w:t>
      </w:r>
    </w:p>
    <w:p w14:paraId="3F47FEBC" w14:textId="5E0D13C2" w:rsidR="00066CF4" w:rsidRPr="00C1178E" w:rsidRDefault="00DB7C32" w:rsidP="007E5DC9">
      <w:pPr>
        <w:pStyle w:val="Heading1"/>
        <w:numPr>
          <w:ilvl w:val="0"/>
          <w:numId w:val="5"/>
        </w:numPr>
        <w:rPr>
          <w:rFonts w:ascii="Times New Roman" w:hAnsi="Times New Roman" w:cs="Times New Roman"/>
        </w:rPr>
      </w:pPr>
      <w:r w:rsidRPr="00C1178E">
        <w:rPr>
          <w:rFonts w:ascii="Times New Roman" w:hAnsi="Times New Roman" w:cs="Times New Roman"/>
        </w:rPr>
        <w:t>Data Description</w:t>
      </w:r>
    </w:p>
    <w:p w14:paraId="2CC46884" w14:textId="05EA606E" w:rsidR="00DB7C32" w:rsidRPr="00413E05" w:rsidRDefault="00DB7C32" w:rsidP="00DB7C32">
      <w:pPr>
        <w:jc w:val="both"/>
        <w:rPr>
          <w:rFonts w:ascii="Times" w:hAnsi="Times"/>
        </w:rPr>
      </w:pPr>
    </w:p>
    <w:p w14:paraId="074F4311" w14:textId="2450EE1B" w:rsidR="00A42306" w:rsidRDefault="009055B2" w:rsidP="006913F1">
      <w:pPr>
        <w:spacing w:line="480" w:lineRule="auto"/>
        <w:ind w:firstLine="720"/>
        <w:jc w:val="both"/>
        <w:rPr>
          <w:rFonts w:ascii="Times" w:hAnsi="Times"/>
        </w:rPr>
      </w:pPr>
      <w:r>
        <w:rPr>
          <w:rFonts w:ascii="Times" w:hAnsi="Times"/>
        </w:rPr>
        <w:t>The</w:t>
      </w:r>
      <w:r w:rsidR="00DB7C32" w:rsidRPr="00413E05">
        <w:rPr>
          <w:rFonts w:ascii="Times" w:hAnsi="Times"/>
        </w:rPr>
        <w:t xml:space="preserve"> dataset </w:t>
      </w:r>
      <w:r>
        <w:rPr>
          <w:rFonts w:ascii="Times" w:hAnsi="Times"/>
        </w:rPr>
        <w:t xml:space="preserve">used in this research </w:t>
      </w:r>
      <w:r w:rsidR="00DB7C32" w:rsidRPr="00413E05">
        <w:rPr>
          <w:rFonts w:ascii="Times" w:hAnsi="Times"/>
        </w:rPr>
        <w:t>consist</w:t>
      </w:r>
      <w:r w:rsidR="00413E05">
        <w:rPr>
          <w:rFonts w:ascii="Times" w:hAnsi="Times"/>
        </w:rPr>
        <w:t xml:space="preserve">s </w:t>
      </w:r>
      <w:r w:rsidR="00F418AB">
        <w:rPr>
          <w:rFonts w:ascii="Times" w:hAnsi="Times"/>
        </w:rPr>
        <w:t xml:space="preserve">of </w:t>
      </w:r>
      <w:r w:rsidR="003D23BC">
        <w:rPr>
          <w:rFonts w:ascii="Times" w:hAnsi="Times"/>
        </w:rPr>
        <w:t>471</w:t>
      </w:r>
      <w:r w:rsidR="002D5056">
        <w:rPr>
          <w:rFonts w:ascii="Times" w:hAnsi="Times"/>
        </w:rPr>
        <w:t xml:space="preserve"> observations </w:t>
      </w:r>
      <w:r w:rsidR="00413E05">
        <w:rPr>
          <w:rFonts w:ascii="Times" w:hAnsi="Times"/>
        </w:rPr>
        <w:t xml:space="preserve">of weekly data within the period from </w:t>
      </w:r>
      <w:r w:rsidR="00372400">
        <w:rPr>
          <w:rFonts w:ascii="Times" w:hAnsi="Times"/>
        </w:rPr>
        <w:t>January</w:t>
      </w:r>
      <w:r w:rsidR="00413E05">
        <w:rPr>
          <w:rFonts w:ascii="Times" w:hAnsi="Times"/>
        </w:rPr>
        <w:t xml:space="preserve"> </w:t>
      </w:r>
      <w:r w:rsidR="00372400">
        <w:rPr>
          <w:rFonts w:ascii="Times" w:hAnsi="Times"/>
        </w:rPr>
        <w:t>2</w:t>
      </w:r>
      <w:r w:rsidR="00413E05">
        <w:rPr>
          <w:rFonts w:ascii="Times" w:hAnsi="Times"/>
        </w:rPr>
        <w:t>, 20</w:t>
      </w:r>
      <w:r w:rsidR="00372400">
        <w:rPr>
          <w:rFonts w:ascii="Times" w:hAnsi="Times"/>
        </w:rPr>
        <w:t>10</w:t>
      </w:r>
      <w:r w:rsidR="00D91A73">
        <w:rPr>
          <w:rFonts w:ascii="Times" w:hAnsi="Times"/>
        </w:rPr>
        <w:t>,</w:t>
      </w:r>
      <w:r w:rsidR="00413E05">
        <w:rPr>
          <w:rFonts w:ascii="Times" w:hAnsi="Times"/>
        </w:rPr>
        <w:t xml:space="preserve"> to </w:t>
      </w:r>
      <w:r w:rsidR="00372400">
        <w:rPr>
          <w:rFonts w:ascii="Times" w:hAnsi="Times"/>
        </w:rPr>
        <w:t>December</w:t>
      </w:r>
      <w:r w:rsidR="00413E05">
        <w:rPr>
          <w:rFonts w:ascii="Times" w:hAnsi="Times"/>
        </w:rPr>
        <w:t xml:space="preserve"> 2</w:t>
      </w:r>
      <w:r w:rsidR="00372400">
        <w:rPr>
          <w:rFonts w:ascii="Times" w:hAnsi="Times"/>
        </w:rPr>
        <w:t>9</w:t>
      </w:r>
      <w:r w:rsidR="00413E05">
        <w:rPr>
          <w:rFonts w:ascii="Times" w:hAnsi="Times"/>
        </w:rPr>
        <w:t>, 201</w:t>
      </w:r>
      <w:r w:rsidR="00372400">
        <w:rPr>
          <w:rFonts w:ascii="Times" w:hAnsi="Times"/>
        </w:rPr>
        <w:t>8</w:t>
      </w:r>
      <w:r w:rsidR="00413E05">
        <w:rPr>
          <w:rFonts w:ascii="Times" w:hAnsi="Times"/>
        </w:rPr>
        <w:t>.</w:t>
      </w:r>
      <w:r w:rsidR="00413E05" w:rsidRPr="00413E05">
        <w:rPr>
          <w:rStyle w:val="FootnoteReference"/>
          <w:rFonts w:ascii="Times" w:hAnsi="Times"/>
          <w:sz w:val="32"/>
        </w:rPr>
        <w:footnoteReference w:id="1"/>
      </w:r>
      <w:r w:rsidR="00413E05">
        <w:rPr>
          <w:rFonts w:ascii="Times" w:hAnsi="Times"/>
        </w:rPr>
        <w:t xml:space="preserve">It comprises the Henry Hub </w:t>
      </w:r>
      <w:r w:rsidR="008519C1">
        <w:rPr>
          <w:rFonts w:ascii="Times" w:hAnsi="Times"/>
        </w:rPr>
        <w:t>natural gas spot price, West Texas Intermediate (WTI) crude oil</w:t>
      </w:r>
      <w:r w:rsidR="00EE0C98">
        <w:rPr>
          <w:rFonts w:ascii="Times" w:hAnsi="Times"/>
        </w:rPr>
        <w:t xml:space="preserve"> spot</w:t>
      </w:r>
      <w:r w:rsidR="008519C1">
        <w:rPr>
          <w:rFonts w:ascii="Times" w:hAnsi="Times"/>
        </w:rPr>
        <w:t xml:space="preserve"> price, average </w:t>
      </w:r>
      <w:r w:rsidR="00D91A73">
        <w:rPr>
          <w:rFonts w:ascii="Times" w:hAnsi="Times"/>
        </w:rPr>
        <w:t>U.S.</w:t>
      </w:r>
      <w:r w:rsidR="008519C1">
        <w:rPr>
          <w:rFonts w:ascii="Times" w:hAnsi="Times"/>
        </w:rPr>
        <w:t xml:space="preserve"> </w:t>
      </w:r>
      <w:r w:rsidR="00EE0C98">
        <w:rPr>
          <w:rFonts w:ascii="Times" w:hAnsi="Times"/>
        </w:rPr>
        <w:t xml:space="preserve">spot </w:t>
      </w:r>
      <w:r w:rsidR="008519C1">
        <w:rPr>
          <w:rFonts w:ascii="Times" w:hAnsi="Times"/>
        </w:rPr>
        <w:t xml:space="preserve">coal price, </w:t>
      </w:r>
      <w:r w:rsidR="00D91A73">
        <w:rPr>
          <w:rFonts w:ascii="Times" w:hAnsi="Times"/>
        </w:rPr>
        <w:t>U.S.</w:t>
      </w:r>
      <w:r w:rsidR="006A0FFF">
        <w:rPr>
          <w:rFonts w:ascii="Times" w:hAnsi="Times"/>
        </w:rPr>
        <w:t xml:space="preserve"> natural gas storage, </w:t>
      </w:r>
      <w:r w:rsidR="00CD0BAD">
        <w:rPr>
          <w:rFonts w:ascii="Times" w:hAnsi="Times"/>
        </w:rPr>
        <w:t xml:space="preserve">the annual yield on 3-month </w:t>
      </w:r>
      <w:r w:rsidR="00D91A73">
        <w:rPr>
          <w:rFonts w:ascii="Times" w:hAnsi="Times"/>
        </w:rPr>
        <w:t>U.S.</w:t>
      </w:r>
      <w:r w:rsidR="00CD0BAD">
        <w:rPr>
          <w:rFonts w:ascii="Times" w:hAnsi="Times"/>
        </w:rPr>
        <w:t xml:space="preserve"> Treasury Bill, </w:t>
      </w:r>
      <w:r w:rsidR="00F418AB">
        <w:rPr>
          <w:rFonts w:ascii="Times" w:hAnsi="Times"/>
        </w:rPr>
        <w:t xml:space="preserve">and </w:t>
      </w:r>
      <w:r w:rsidR="008519C1">
        <w:rPr>
          <w:rFonts w:ascii="Times" w:hAnsi="Times"/>
        </w:rPr>
        <w:t xml:space="preserve">the </w:t>
      </w:r>
      <w:r w:rsidR="00AE1134">
        <w:rPr>
          <w:rFonts w:ascii="Times" w:hAnsi="Times"/>
        </w:rPr>
        <w:t>consumption</w:t>
      </w:r>
      <w:r w:rsidR="008435EF">
        <w:rPr>
          <w:rFonts w:ascii="Times" w:hAnsi="Times"/>
        </w:rPr>
        <w:t>-</w:t>
      </w:r>
      <w:r w:rsidR="00AE1134">
        <w:rPr>
          <w:rFonts w:ascii="Times" w:hAnsi="Times"/>
        </w:rPr>
        <w:t xml:space="preserve">weighted </w:t>
      </w:r>
      <w:r w:rsidR="004A1C0D">
        <w:rPr>
          <w:rFonts w:ascii="Times" w:hAnsi="Times"/>
        </w:rPr>
        <w:t>temperature deviations</w:t>
      </w:r>
      <w:r w:rsidR="008519C1">
        <w:rPr>
          <w:rFonts w:ascii="Times" w:hAnsi="Times"/>
        </w:rPr>
        <w:t xml:space="preserve"> from historical average</w:t>
      </w:r>
      <w:r w:rsidR="004A1C0D">
        <w:rPr>
          <w:rFonts w:ascii="Times" w:hAnsi="Times"/>
        </w:rPr>
        <w:t>s</w:t>
      </w:r>
      <w:r w:rsidR="008519C1">
        <w:rPr>
          <w:rFonts w:ascii="Times" w:hAnsi="Times"/>
        </w:rPr>
        <w:t xml:space="preserve"> for the top 5 natural gas consumption states in the </w:t>
      </w:r>
      <w:r w:rsidR="00D91A73">
        <w:rPr>
          <w:rFonts w:ascii="Times" w:hAnsi="Times"/>
        </w:rPr>
        <w:t>U.S</w:t>
      </w:r>
      <w:r w:rsidR="00AE1134">
        <w:rPr>
          <w:rFonts w:ascii="Times" w:hAnsi="Times"/>
        </w:rPr>
        <w:t>.</w:t>
      </w:r>
      <w:r w:rsidR="008519C1" w:rsidRPr="00AE1134">
        <w:rPr>
          <w:rStyle w:val="FootnoteReference"/>
          <w:rFonts w:ascii="Times" w:hAnsi="Times"/>
          <w:sz w:val="32"/>
        </w:rPr>
        <w:footnoteReference w:id="2"/>
      </w:r>
      <w:r w:rsidR="006A0FFF">
        <w:rPr>
          <w:rFonts w:ascii="Times" w:hAnsi="Times"/>
        </w:rPr>
        <w:t xml:space="preserve"> Figure</w:t>
      </w:r>
      <w:r w:rsidR="00325BD5">
        <w:rPr>
          <w:rFonts w:ascii="Times" w:hAnsi="Times"/>
        </w:rPr>
        <w:t xml:space="preserve"> 1</w:t>
      </w:r>
      <w:r w:rsidR="006A0FFF">
        <w:rPr>
          <w:rFonts w:ascii="Times" w:hAnsi="Times"/>
        </w:rPr>
        <w:t xml:space="preserve"> displays all the time series of the variables and Table 1 provides a summary definition of the variables used in this study.</w:t>
      </w:r>
    </w:p>
    <w:p w14:paraId="485661F5" w14:textId="535D6527" w:rsidR="00E56326" w:rsidRDefault="00E56326" w:rsidP="00413E05">
      <w:pPr>
        <w:spacing w:line="480" w:lineRule="auto"/>
        <w:jc w:val="both"/>
        <w:rPr>
          <w:rFonts w:ascii="Times" w:hAnsi="Times"/>
        </w:rPr>
      </w:pPr>
      <w:r>
        <w:rPr>
          <w:rFonts w:ascii="Times" w:hAnsi="Times"/>
          <w:noProof/>
        </w:rPr>
        <w:lastRenderedPageBreak/>
        <w:drawing>
          <wp:inline distT="0" distB="0" distL="0" distR="0" wp14:anchorId="33C70E27" wp14:editId="44260608">
            <wp:extent cx="5717628" cy="3810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erie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9110" cy="3824952"/>
                    </a:xfrm>
                    <a:prstGeom prst="rect">
                      <a:avLst/>
                    </a:prstGeom>
                  </pic:spPr>
                </pic:pic>
              </a:graphicData>
            </a:graphic>
          </wp:inline>
        </w:drawing>
      </w:r>
    </w:p>
    <w:p w14:paraId="160C729D" w14:textId="415C808E" w:rsidR="00BA264B" w:rsidRDefault="00BA264B" w:rsidP="00E1289A">
      <w:pPr>
        <w:rPr>
          <w:rFonts w:ascii="Times" w:hAnsi="Times"/>
        </w:rPr>
      </w:pPr>
      <w:r>
        <w:rPr>
          <w:rFonts w:ascii="Times" w:hAnsi="Times"/>
        </w:rPr>
        <w:t>Table 1: Summary description of variables used</w:t>
      </w:r>
    </w:p>
    <w:p w14:paraId="14BCA5B3" w14:textId="77777777" w:rsidR="00AC0DFB" w:rsidRDefault="00AC0DFB" w:rsidP="00E1289A">
      <w:pPr>
        <w:rPr>
          <w:rFonts w:ascii="Times" w:hAnsi="Times"/>
        </w:rPr>
      </w:pPr>
    </w:p>
    <w:tbl>
      <w:tblPr>
        <w:tblStyle w:val="PlainTable2"/>
        <w:tblW w:w="10088" w:type="dxa"/>
        <w:tblLook w:val="04A0" w:firstRow="1" w:lastRow="0" w:firstColumn="1" w:lastColumn="0" w:noHBand="0" w:noVBand="1"/>
      </w:tblPr>
      <w:tblGrid>
        <w:gridCol w:w="1620"/>
        <w:gridCol w:w="5092"/>
        <w:gridCol w:w="1679"/>
        <w:gridCol w:w="1697"/>
      </w:tblGrid>
      <w:tr w:rsidR="00C53980" w:rsidRPr="004A3795" w14:paraId="1FFD8570" w14:textId="77777777" w:rsidTr="007E5DC9">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63ECBD" w14:textId="77777777" w:rsidR="00E56326" w:rsidRPr="004A3795" w:rsidRDefault="00E56326" w:rsidP="00066CF4">
            <w:pPr>
              <w:rPr>
                <w:color w:val="000000"/>
              </w:rPr>
            </w:pPr>
            <w:r w:rsidRPr="004A3795">
              <w:rPr>
                <w:color w:val="000000"/>
              </w:rPr>
              <w:t>Variable</w:t>
            </w:r>
          </w:p>
        </w:tc>
        <w:tc>
          <w:tcPr>
            <w:tcW w:w="5092" w:type="dxa"/>
            <w:hideMark/>
          </w:tcPr>
          <w:p w14:paraId="017DEFD9" w14:textId="77777777" w:rsidR="00E56326" w:rsidRPr="004A3795" w:rsidRDefault="00E56326" w:rsidP="00066CF4">
            <w:pP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Description</w:t>
            </w:r>
          </w:p>
        </w:tc>
        <w:tc>
          <w:tcPr>
            <w:tcW w:w="1679" w:type="dxa"/>
            <w:hideMark/>
          </w:tcPr>
          <w:p w14:paraId="5766FB7F" w14:textId="77777777" w:rsidR="00E56326" w:rsidRPr="004A3795" w:rsidRDefault="00E56326" w:rsidP="00C53980">
            <w:pP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 xml:space="preserve">Unit </w:t>
            </w:r>
          </w:p>
        </w:tc>
        <w:tc>
          <w:tcPr>
            <w:tcW w:w="1697" w:type="dxa"/>
            <w:hideMark/>
          </w:tcPr>
          <w:p w14:paraId="24CB22A9" w14:textId="77777777" w:rsidR="00E56326" w:rsidRPr="004A3795" w:rsidRDefault="00E56326" w:rsidP="00066CF4">
            <w:pP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Source</w:t>
            </w:r>
          </w:p>
        </w:tc>
      </w:tr>
      <w:tr w:rsidR="00E56326" w:rsidRPr="004A3795" w14:paraId="0793F1E0" w14:textId="77777777" w:rsidTr="007E5DC9">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BF4DD92" w14:textId="77777777" w:rsidR="00E56326" w:rsidRPr="007E5DC9" w:rsidRDefault="00E56326" w:rsidP="00066CF4">
            <w:pPr>
              <w:rPr>
                <w:b w:val="0"/>
                <w:color w:val="000000"/>
              </w:rPr>
            </w:pPr>
            <w:r w:rsidRPr="007E5DC9">
              <w:rPr>
                <w:b w:val="0"/>
                <w:color w:val="000000"/>
              </w:rPr>
              <w:t>Temperature Deviations</w:t>
            </w:r>
          </w:p>
        </w:tc>
        <w:tc>
          <w:tcPr>
            <w:tcW w:w="5092" w:type="dxa"/>
            <w:hideMark/>
          </w:tcPr>
          <w:p w14:paraId="5BE5199B" w14:textId="0AE8FFCC" w:rsidR="00E56326" w:rsidRPr="004A3795" w:rsidRDefault="00E56326" w:rsidP="00066CF4">
            <w:pP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measured as the Degrees Day (</w:t>
            </w:r>
            <w:r w:rsidR="00D91A73">
              <w:rPr>
                <w:color w:val="000000"/>
              </w:rPr>
              <w:t>D.D.</w:t>
            </w:r>
            <w:r w:rsidRPr="004A3795">
              <w:rPr>
                <w:color w:val="000000"/>
              </w:rPr>
              <w:t>) deviations from historical averages. DD= CDD + HDD. Where CDD is Cooling Degrees Day and HDD is Heating Degrees Day</w:t>
            </w:r>
          </w:p>
        </w:tc>
        <w:tc>
          <w:tcPr>
            <w:tcW w:w="1679" w:type="dxa"/>
            <w:hideMark/>
          </w:tcPr>
          <w:p w14:paraId="7F143AE7" w14:textId="4C207FA2" w:rsidR="00E56326" w:rsidRPr="004A3795" w:rsidRDefault="00E56326" w:rsidP="00C53980">
            <w:pP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Degre</w:t>
            </w:r>
            <w:r w:rsidR="00C53980" w:rsidRPr="004A3795">
              <w:rPr>
                <w:color w:val="000000"/>
              </w:rPr>
              <w:t>e</w:t>
            </w:r>
            <w:r w:rsidRPr="004A3795">
              <w:rPr>
                <w:color w:val="000000"/>
              </w:rPr>
              <w:t>s Fahrenheit</w:t>
            </w:r>
          </w:p>
        </w:tc>
        <w:tc>
          <w:tcPr>
            <w:tcW w:w="1697" w:type="dxa"/>
            <w:hideMark/>
          </w:tcPr>
          <w:p w14:paraId="4624A9D4" w14:textId="77777777" w:rsidR="00E56326" w:rsidRPr="004A3795" w:rsidRDefault="00E56326" w:rsidP="00066CF4">
            <w:pP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National Weather Service (NWS)</w:t>
            </w:r>
          </w:p>
        </w:tc>
      </w:tr>
      <w:tr w:rsidR="00E56326" w:rsidRPr="004A3795" w14:paraId="6E33A147" w14:textId="77777777" w:rsidTr="007E5DC9">
        <w:trPr>
          <w:trHeight w:val="267"/>
        </w:trPr>
        <w:tc>
          <w:tcPr>
            <w:cnfStyle w:val="001000000000" w:firstRow="0" w:lastRow="0" w:firstColumn="1" w:lastColumn="0" w:oddVBand="0" w:evenVBand="0" w:oddHBand="0" w:evenHBand="0" w:firstRowFirstColumn="0" w:firstRowLastColumn="0" w:lastRowFirstColumn="0" w:lastRowLastColumn="0"/>
            <w:tcW w:w="1620" w:type="dxa"/>
            <w:noWrap/>
            <w:hideMark/>
          </w:tcPr>
          <w:p w14:paraId="51B2D945" w14:textId="77777777" w:rsidR="00E56326" w:rsidRPr="007E5DC9" w:rsidRDefault="00E56326" w:rsidP="00066CF4">
            <w:pPr>
              <w:rPr>
                <w:b w:val="0"/>
                <w:color w:val="000000"/>
              </w:rPr>
            </w:pPr>
            <w:r w:rsidRPr="007E5DC9">
              <w:rPr>
                <w:b w:val="0"/>
                <w:color w:val="000000"/>
              </w:rPr>
              <w:t>WTI Price</w:t>
            </w:r>
          </w:p>
        </w:tc>
        <w:tc>
          <w:tcPr>
            <w:tcW w:w="5092" w:type="dxa"/>
            <w:hideMark/>
          </w:tcPr>
          <w:p w14:paraId="5545FD10" w14:textId="39EB2F95" w:rsidR="00E56326" w:rsidRPr="004A3795" w:rsidRDefault="00E56326" w:rsidP="00066CF4">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 xml:space="preserve">West Texas Intermediate spot price for </w:t>
            </w:r>
            <w:r w:rsidR="00D91A73">
              <w:rPr>
                <w:color w:val="000000"/>
              </w:rPr>
              <w:t>U.S.</w:t>
            </w:r>
            <w:r w:rsidRPr="004A3795">
              <w:rPr>
                <w:color w:val="000000"/>
              </w:rPr>
              <w:t xml:space="preserve"> crude oil</w:t>
            </w:r>
          </w:p>
        </w:tc>
        <w:tc>
          <w:tcPr>
            <w:tcW w:w="1679" w:type="dxa"/>
            <w:hideMark/>
          </w:tcPr>
          <w:p w14:paraId="790A3636" w14:textId="77777777" w:rsidR="00E56326" w:rsidRPr="004A3795" w:rsidRDefault="00E56326" w:rsidP="00C53980">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USD per barrel</w:t>
            </w:r>
          </w:p>
        </w:tc>
        <w:tc>
          <w:tcPr>
            <w:tcW w:w="1697" w:type="dxa"/>
            <w:hideMark/>
          </w:tcPr>
          <w:p w14:paraId="17CEA8EF" w14:textId="77777777" w:rsidR="00E56326" w:rsidRPr="004A3795" w:rsidRDefault="00E56326" w:rsidP="00066CF4">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Bloomberg</w:t>
            </w:r>
          </w:p>
        </w:tc>
      </w:tr>
      <w:tr w:rsidR="00E56326" w:rsidRPr="004A3795" w14:paraId="5DE5327F" w14:textId="77777777" w:rsidTr="007E5DC9">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620" w:type="dxa"/>
            <w:noWrap/>
            <w:hideMark/>
          </w:tcPr>
          <w:p w14:paraId="4DBF136F" w14:textId="77777777" w:rsidR="00E56326" w:rsidRPr="007E5DC9" w:rsidRDefault="00E56326" w:rsidP="00066CF4">
            <w:pPr>
              <w:rPr>
                <w:b w:val="0"/>
                <w:color w:val="000000"/>
              </w:rPr>
            </w:pPr>
            <w:r w:rsidRPr="007E5DC9">
              <w:rPr>
                <w:b w:val="0"/>
                <w:color w:val="000000"/>
              </w:rPr>
              <w:t>Coal Price</w:t>
            </w:r>
          </w:p>
        </w:tc>
        <w:tc>
          <w:tcPr>
            <w:tcW w:w="5092" w:type="dxa"/>
            <w:hideMark/>
          </w:tcPr>
          <w:p w14:paraId="36595FDE" w14:textId="46B30A8C" w:rsidR="00E56326" w:rsidRPr="004A3795" w:rsidRDefault="00D91A73" w:rsidP="00066CF4">
            <w:pPr>
              <w:cnfStyle w:val="000000100000" w:firstRow="0" w:lastRow="0" w:firstColumn="0" w:lastColumn="0" w:oddVBand="0" w:evenVBand="0" w:oddHBand="1" w:evenHBand="0" w:firstRowFirstColumn="0" w:firstRowLastColumn="0" w:lastRowFirstColumn="0" w:lastRowLastColumn="0"/>
              <w:rPr>
                <w:color w:val="000000"/>
              </w:rPr>
            </w:pPr>
            <w:r>
              <w:rPr>
                <w:color w:val="000000"/>
              </w:rPr>
              <w:t>The average</w:t>
            </w:r>
            <w:r w:rsidR="00E56326" w:rsidRPr="004A3795">
              <w:rPr>
                <w:color w:val="000000"/>
              </w:rPr>
              <w:t xml:space="preserve"> spot price of </w:t>
            </w:r>
            <w:r>
              <w:rPr>
                <w:color w:val="000000"/>
              </w:rPr>
              <w:t>U.S.</w:t>
            </w:r>
            <w:r w:rsidR="00E56326" w:rsidRPr="004A3795">
              <w:rPr>
                <w:color w:val="000000"/>
              </w:rPr>
              <w:t xml:space="preserve"> coal from the five producing regions (Central Appalachian, N. Appalachian, Illinois Basin, Powder River Basin, Uinta Basin)</w:t>
            </w:r>
          </w:p>
        </w:tc>
        <w:tc>
          <w:tcPr>
            <w:tcW w:w="1679" w:type="dxa"/>
            <w:hideMark/>
          </w:tcPr>
          <w:p w14:paraId="1DBF999F" w14:textId="77777777" w:rsidR="00E56326" w:rsidRPr="004A3795" w:rsidRDefault="00E56326" w:rsidP="00C53980">
            <w:pP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USD per ton</w:t>
            </w:r>
          </w:p>
        </w:tc>
        <w:tc>
          <w:tcPr>
            <w:tcW w:w="1697" w:type="dxa"/>
            <w:hideMark/>
          </w:tcPr>
          <w:p w14:paraId="5A7537A9" w14:textId="77777777" w:rsidR="00E56326" w:rsidRPr="004A3795" w:rsidRDefault="00E56326" w:rsidP="00066CF4">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Quandl</w:t>
            </w:r>
          </w:p>
        </w:tc>
      </w:tr>
      <w:tr w:rsidR="00E56326" w:rsidRPr="004A3795" w14:paraId="6792F2AD" w14:textId="77777777" w:rsidTr="007E5DC9">
        <w:trPr>
          <w:trHeight w:val="535"/>
        </w:trPr>
        <w:tc>
          <w:tcPr>
            <w:cnfStyle w:val="001000000000" w:firstRow="0" w:lastRow="0" w:firstColumn="1" w:lastColumn="0" w:oddVBand="0" w:evenVBand="0" w:oddHBand="0" w:evenHBand="0" w:firstRowFirstColumn="0" w:firstRowLastColumn="0" w:lastRowFirstColumn="0" w:lastRowLastColumn="0"/>
            <w:tcW w:w="1620" w:type="dxa"/>
            <w:noWrap/>
            <w:hideMark/>
          </w:tcPr>
          <w:p w14:paraId="3CCF25C0" w14:textId="77777777" w:rsidR="00E56326" w:rsidRPr="007E5DC9" w:rsidRDefault="00E56326" w:rsidP="00066CF4">
            <w:pPr>
              <w:rPr>
                <w:b w:val="0"/>
                <w:color w:val="000000"/>
              </w:rPr>
            </w:pPr>
            <w:r w:rsidRPr="007E5DC9">
              <w:rPr>
                <w:b w:val="0"/>
                <w:color w:val="000000"/>
              </w:rPr>
              <w:t>Natural Gas Price</w:t>
            </w:r>
          </w:p>
        </w:tc>
        <w:tc>
          <w:tcPr>
            <w:tcW w:w="5092" w:type="dxa"/>
            <w:hideMark/>
          </w:tcPr>
          <w:p w14:paraId="71E81B00" w14:textId="77777777" w:rsidR="00E56326" w:rsidRPr="004A3795" w:rsidRDefault="00E56326" w:rsidP="00066CF4">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Henry Hub spot price</w:t>
            </w:r>
          </w:p>
        </w:tc>
        <w:tc>
          <w:tcPr>
            <w:tcW w:w="1679" w:type="dxa"/>
            <w:hideMark/>
          </w:tcPr>
          <w:p w14:paraId="7060D08C" w14:textId="77777777" w:rsidR="00E56326" w:rsidRPr="004A3795" w:rsidRDefault="00E56326" w:rsidP="00C53980">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USD per million Btu (British thermal unit)</w:t>
            </w:r>
          </w:p>
        </w:tc>
        <w:tc>
          <w:tcPr>
            <w:tcW w:w="1697" w:type="dxa"/>
            <w:hideMark/>
          </w:tcPr>
          <w:p w14:paraId="4D2D8D4F" w14:textId="77777777" w:rsidR="00E56326" w:rsidRPr="004A3795" w:rsidRDefault="00E56326" w:rsidP="00066CF4">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Bloomberg</w:t>
            </w:r>
          </w:p>
        </w:tc>
      </w:tr>
      <w:tr w:rsidR="00E56326" w:rsidRPr="004A3795" w14:paraId="6A676459" w14:textId="77777777" w:rsidTr="007E5DC9">
        <w:trPr>
          <w:cnfStyle w:val="000000100000" w:firstRow="0" w:lastRow="0" w:firstColumn="0" w:lastColumn="0" w:oddVBand="0" w:evenVBand="0" w:oddHBand="1" w:evenHBand="0" w:firstRowFirstColumn="0" w:firstRowLastColumn="0" w:lastRowFirstColumn="0" w:lastRowLastColumn="0"/>
          <w:trHeight w:val="803"/>
        </w:trPr>
        <w:tc>
          <w:tcPr>
            <w:cnfStyle w:val="001000000000" w:firstRow="0" w:lastRow="0" w:firstColumn="1" w:lastColumn="0" w:oddVBand="0" w:evenVBand="0" w:oddHBand="0" w:evenHBand="0" w:firstRowFirstColumn="0" w:firstRowLastColumn="0" w:lastRowFirstColumn="0" w:lastRowLastColumn="0"/>
            <w:tcW w:w="1620" w:type="dxa"/>
            <w:noWrap/>
            <w:hideMark/>
          </w:tcPr>
          <w:p w14:paraId="0B74D508" w14:textId="77777777" w:rsidR="00E56326" w:rsidRPr="007E5DC9" w:rsidRDefault="00E56326" w:rsidP="00066CF4">
            <w:pPr>
              <w:rPr>
                <w:b w:val="0"/>
                <w:color w:val="000000"/>
              </w:rPr>
            </w:pPr>
            <w:r w:rsidRPr="007E5DC9">
              <w:rPr>
                <w:b w:val="0"/>
                <w:color w:val="000000"/>
              </w:rPr>
              <w:t>Storage</w:t>
            </w:r>
          </w:p>
        </w:tc>
        <w:tc>
          <w:tcPr>
            <w:tcW w:w="5092" w:type="dxa"/>
            <w:hideMark/>
          </w:tcPr>
          <w:p w14:paraId="1C1D42E4" w14:textId="6759CC14" w:rsidR="00E56326" w:rsidRPr="004A3795" w:rsidRDefault="00E56326" w:rsidP="00066CF4">
            <w:pP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 xml:space="preserve">Working gas in </w:t>
            </w:r>
            <w:r w:rsidR="00C53980" w:rsidRPr="004A3795">
              <w:rPr>
                <w:color w:val="000000"/>
              </w:rPr>
              <w:t>underground</w:t>
            </w:r>
            <w:r w:rsidRPr="004A3795">
              <w:rPr>
                <w:color w:val="000000"/>
              </w:rPr>
              <w:t xml:space="preserve"> storage</w:t>
            </w:r>
          </w:p>
        </w:tc>
        <w:tc>
          <w:tcPr>
            <w:tcW w:w="1679" w:type="dxa"/>
            <w:hideMark/>
          </w:tcPr>
          <w:p w14:paraId="299BD409" w14:textId="77777777" w:rsidR="00E56326" w:rsidRPr="004A3795" w:rsidRDefault="00E56326" w:rsidP="00C53980">
            <w:pP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Bcf (Billion cubic feet)</w:t>
            </w:r>
          </w:p>
        </w:tc>
        <w:tc>
          <w:tcPr>
            <w:tcW w:w="1697" w:type="dxa"/>
            <w:hideMark/>
          </w:tcPr>
          <w:p w14:paraId="5A222161" w14:textId="13BB07B6" w:rsidR="00E56326" w:rsidRPr="004A3795" w:rsidRDefault="00D91A73" w:rsidP="00066CF4">
            <w:pPr>
              <w:cnfStyle w:val="000000100000" w:firstRow="0" w:lastRow="0" w:firstColumn="0" w:lastColumn="0" w:oddVBand="0" w:evenVBand="0" w:oddHBand="1" w:evenHBand="0" w:firstRowFirstColumn="0" w:firstRowLastColumn="0" w:lastRowFirstColumn="0" w:lastRowLastColumn="0"/>
              <w:rPr>
                <w:color w:val="000000"/>
              </w:rPr>
            </w:pPr>
            <w:r>
              <w:rPr>
                <w:color w:val="000000"/>
              </w:rPr>
              <w:t>U.S.</w:t>
            </w:r>
            <w:r w:rsidR="00E56326" w:rsidRPr="004A3795">
              <w:rPr>
                <w:color w:val="000000"/>
              </w:rPr>
              <w:t xml:space="preserve"> Energy Information Administration</w:t>
            </w:r>
          </w:p>
        </w:tc>
      </w:tr>
      <w:tr w:rsidR="00E56326" w:rsidRPr="004A3795" w14:paraId="49FB7D30" w14:textId="77777777" w:rsidTr="007E5DC9">
        <w:trPr>
          <w:trHeight w:val="86"/>
        </w:trPr>
        <w:tc>
          <w:tcPr>
            <w:cnfStyle w:val="001000000000" w:firstRow="0" w:lastRow="0" w:firstColumn="1" w:lastColumn="0" w:oddVBand="0" w:evenVBand="0" w:oddHBand="0" w:evenHBand="0" w:firstRowFirstColumn="0" w:firstRowLastColumn="0" w:lastRowFirstColumn="0" w:lastRowLastColumn="0"/>
            <w:tcW w:w="1620" w:type="dxa"/>
            <w:noWrap/>
            <w:hideMark/>
          </w:tcPr>
          <w:p w14:paraId="1B818992" w14:textId="77777777" w:rsidR="00E56326" w:rsidRPr="007E5DC9" w:rsidRDefault="00E56326" w:rsidP="00066CF4">
            <w:pPr>
              <w:rPr>
                <w:b w:val="0"/>
                <w:color w:val="000000"/>
              </w:rPr>
            </w:pPr>
            <w:r w:rsidRPr="007E5DC9">
              <w:rPr>
                <w:b w:val="0"/>
                <w:color w:val="000000"/>
              </w:rPr>
              <w:t>Treasury Bill</w:t>
            </w:r>
          </w:p>
        </w:tc>
        <w:tc>
          <w:tcPr>
            <w:tcW w:w="5092" w:type="dxa"/>
            <w:hideMark/>
          </w:tcPr>
          <w:p w14:paraId="53875458" w14:textId="228286D7" w:rsidR="00E56326" w:rsidRPr="004A3795" w:rsidRDefault="00D91A73" w:rsidP="00066CF4">
            <w:pPr>
              <w:cnfStyle w:val="000000000000" w:firstRow="0" w:lastRow="0" w:firstColumn="0" w:lastColumn="0" w:oddVBand="0" w:evenVBand="0" w:oddHBand="0" w:evenHBand="0" w:firstRowFirstColumn="0" w:firstRowLastColumn="0" w:lastRowFirstColumn="0" w:lastRowLastColumn="0"/>
              <w:rPr>
                <w:color w:val="000000"/>
              </w:rPr>
            </w:pPr>
            <w:r>
              <w:rPr>
                <w:color w:val="000000"/>
              </w:rPr>
              <w:t>Three</w:t>
            </w:r>
            <w:r w:rsidR="00E56326" w:rsidRPr="004A3795">
              <w:rPr>
                <w:color w:val="000000"/>
              </w:rPr>
              <w:t xml:space="preserve"> months </w:t>
            </w:r>
            <w:r>
              <w:rPr>
                <w:color w:val="000000"/>
              </w:rPr>
              <w:t>U.S.</w:t>
            </w:r>
            <w:r w:rsidR="00E56326" w:rsidRPr="004A3795">
              <w:rPr>
                <w:color w:val="000000"/>
              </w:rPr>
              <w:t xml:space="preserve"> treasury bill </w:t>
            </w:r>
          </w:p>
        </w:tc>
        <w:tc>
          <w:tcPr>
            <w:tcW w:w="1679" w:type="dxa"/>
            <w:hideMark/>
          </w:tcPr>
          <w:p w14:paraId="09BB978D" w14:textId="77777777" w:rsidR="00E56326" w:rsidRPr="004A3795" w:rsidRDefault="00E56326" w:rsidP="00C53980">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Percent</w:t>
            </w:r>
          </w:p>
        </w:tc>
        <w:tc>
          <w:tcPr>
            <w:tcW w:w="1697" w:type="dxa"/>
            <w:hideMark/>
          </w:tcPr>
          <w:p w14:paraId="7CB1BF0E" w14:textId="77777777" w:rsidR="00E56326" w:rsidRPr="004A3795" w:rsidRDefault="00E56326" w:rsidP="00066CF4">
            <w:pP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Federal Reserve Bank of St. Louis</w:t>
            </w:r>
          </w:p>
        </w:tc>
      </w:tr>
    </w:tbl>
    <w:p w14:paraId="1CF3C9B1" w14:textId="02B5F8FC" w:rsidR="00325BD5" w:rsidRDefault="00325BD5" w:rsidP="00413E05">
      <w:pPr>
        <w:spacing w:line="480" w:lineRule="auto"/>
        <w:jc w:val="both"/>
        <w:rPr>
          <w:rFonts w:ascii="Times" w:hAnsi="Times"/>
        </w:rPr>
      </w:pPr>
    </w:p>
    <w:p w14:paraId="21BD597D" w14:textId="5D5EEFB6" w:rsidR="003F7506" w:rsidRPr="009055B2" w:rsidRDefault="002D5056" w:rsidP="006913F1">
      <w:pPr>
        <w:spacing w:line="480" w:lineRule="auto"/>
        <w:ind w:firstLine="720"/>
        <w:jc w:val="both"/>
        <w:rPr>
          <w:rFonts w:ascii="Times" w:hAnsi="Times"/>
        </w:rPr>
      </w:pPr>
      <w:r>
        <w:rPr>
          <w:rFonts w:ascii="Times" w:hAnsi="Times"/>
        </w:rPr>
        <w:t xml:space="preserve">The choice of variables for this econometric analysis is comprehensive as it encompasses the diverse </w:t>
      </w:r>
      <w:r w:rsidR="0020069F">
        <w:rPr>
          <w:rFonts w:ascii="Times" w:hAnsi="Times"/>
        </w:rPr>
        <w:t xml:space="preserve">fundamental drivers of natural gas prices. I rely on spot prices because </w:t>
      </w:r>
      <w:r w:rsidR="00BF04DD">
        <w:rPr>
          <w:rFonts w:ascii="Times" w:hAnsi="Times"/>
        </w:rPr>
        <w:t xml:space="preserve">it allows me to capture </w:t>
      </w:r>
      <w:r w:rsidR="00087908">
        <w:rPr>
          <w:rFonts w:ascii="Times" w:hAnsi="Times"/>
        </w:rPr>
        <w:t>some short-term impacts of interest</w:t>
      </w:r>
      <w:r w:rsidR="00D91A73">
        <w:rPr>
          <w:rFonts w:ascii="Times" w:hAnsi="Times"/>
        </w:rPr>
        <w:t>,</w:t>
      </w:r>
      <w:r w:rsidR="00087908">
        <w:rPr>
          <w:rFonts w:ascii="Times" w:hAnsi="Times"/>
        </w:rPr>
        <w:t xml:space="preserve"> such as </w:t>
      </w:r>
      <w:r w:rsidR="00D91A73">
        <w:rPr>
          <w:rFonts w:ascii="Times" w:hAnsi="Times"/>
        </w:rPr>
        <w:t>temperature-induced</w:t>
      </w:r>
      <w:r w:rsidR="00087908">
        <w:rPr>
          <w:rFonts w:ascii="Times" w:hAnsi="Times"/>
        </w:rPr>
        <w:t xml:space="preserve"> demand spikes. </w:t>
      </w:r>
      <w:r w:rsidR="00087908" w:rsidRPr="00087908">
        <w:rPr>
          <w:rFonts w:ascii="Times" w:hAnsi="Times"/>
        </w:rPr>
        <w:t xml:space="preserve">I used the Henry Hub spot price because its price movement is considerably affected </w:t>
      </w:r>
      <w:r w:rsidR="008435EF">
        <w:rPr>
          <w:rFonts w:ascii="Times" w:hAnsi="Times"/>
        </w:rPr>
        <w:t xml:space="preserve">by </w:t>
      </w:r>
      <w:r w:rsidR="00D91A73">
        <w:rPr>
          <w:rFonts w:ascii="Times" w:hAnsi="Times"/>
        </w:rPr>
        <w:t xml:space="preserve">the </w:t>
      </w:r>
      <w:r w:rsidR="00087908" w:rsidRPr="00087908">
        <w:rPr>
          <w:rFonts w:ascii="Times" w:hAnsi="Times"/>
        </w:rPr>
        <w:t xml:space="preserve">temperature </w:t>
      </w:r>
      <w:r w:rsidR="00087908" w:rsidRPr="009055B2">
        <w:rPr>
          <w:rFonts w:ascii="Times" w:hAnsi="Times"/>
        </w:rPr>
        <w:t xml:space="preserve">conditions of the top 5 natural gas consumption states considered in this study. </w:t>
      </w:r>
    </w:p>
    <w:p w14:paraId="6205EF06" w14:textId="1D138FFE" w:rsidR="00D37F8A" w:rsidRDefault="00087908" w:rsidP="006913F1">
      <w:pPr>
        <w:spacing w:line="480" w:lineRule="auto"/>
        <w:ind w:firstLine="720"/>
        <w:jc w:val="both"/>
        <w:rPr>
          <w:rFonts w:ascii="Times" w:hAnsi="Times"/>
          <w:noProof/>
        </w:rPr>
      </w:pPr>
      <w:r w:rsidRPr="009055B2">
        <w:rPr>
          <w:rFonts w:ascii="Times" w:hAnsi="Times"/>
        </w:rPr>
        <w:t xml:space="preserve">I specify the model using weekly data to allow for the inclusion of coal price </w:t>
      </w:r>
      <w:r w:rsidR="008435EF" w:rsidRPr="009055B2">
        <w:rPr>
          <w:rFonts w:ascii="Times" w:hAnsi="Times"/>
        </w:rPr>
        <w:t>data,</w:t>
      </w:r>
      <w:r w:rsidRPr="009055B2">
        <w:rPr>
          <w:rFonts w:ascii="Times" w:hAnsi="Times"/>
        </w:rPr>
        <w:t xml:space="preserve"> which is only available in weekly frequency</w:t>
      </w:r>
      <w:r w:rsidR="00250A6A" w:rsidRPr="009055B2">
        <w:rPr>
          <w:rFonts w:ascii="Times" w:hAnsi="Times"/>
        </w:rPr>
        <w:t xml:space="preserve"> while </w:t>
      </w:r>
      <w:r w:rsidR="00D91A73">
        <w:rPr>
          <w:rFonts w:ascii="Times" w:hAnsi="Times"/>
        </w:rPr>
        <w:t>capturing</w:t>
      </w:r>
      <w:r w:rsidRPr="009055B2">
        <w:rPr>
          <w:rFonts w:ascii="Times" w:hAnsi="Times"/>
        </w:rPr>
        <w:t xml:space="preserve"> short-term meteorological conditions. </w:t>
      </w:r>
      <w:r w:rsidR="005C0C5C" w:rsidRPr="009055B2">
        <w:rPr>
          <w:rFonts w:ascii="Times" w:hAnsi="Times"/>
        </w:rPr>
        <w:t xml:space="preserve">Prices of crude oil and coal are used as proxies for energy-specific demand. </w:t>
      </w:r>
      <w:r w:rsidR="00250A6A" w:rsidRPr="009055B2">
        <w:rPr>
          <w:rFonts w:ascii="Times" w:hAnsi="Times"/>
        </w:rPr>
        <w:t>The spot</w:t>
      </w:r>
      <w:r w:rsidR="00250A6A">
        <w:rPr>
          <w:rFonts w:ascii="Times" w:hAnsi="Times"/>
        </w:rPr>
        <w:t xml:space="preserve"> price of crude oil is incorporated to capture the substitution relationship of oil and gas in the domestic heating and cooling market. Coal prices placed in the model will capture the interaction of gas and coal in the electricity generation sector</w:t>
      </w:r>
      <w:r w:rsidR="004E5E57">
        <w:rPr>
          <w:rFonts w:ascii="Times" w:hAnsi="Times"/>
        </w:rPr>
        <w:t xml:space="preserve"> and therefore represents the cross-commodity effects related to fuel substitution (see</w:t>
      </w:r>
      <w:r w:rsidR="00D91A73">
        <w:rPr>
          <w:rFonts w:ascii="Times" w:hAnsi="Times"/>
        </w:rPr>
        <w:t>,</w:t>
      </w:r>
      <w:r w:rsidR="004E5E57">
        <w:rPr>
          <w:rFonts w:ascii="Times" w:hAnsi="Times"/>
        </w:rPr>
        <w:t xml:space="preserve"> for example</w:t>
      </w:r>
      <w:r w:rsidR="00D91A73">
        <w:rPr>
          <w:rFonts w:ascii="Times" w:hAnsi="Times"/>
        </w:rPr>
        <w:t>,</w:t>
      </w:r>
      <w:r w:rsidR="004E5E57">
        <w:rPr>
          <w:rFonts w:ascii="Times" w:hAnsi="Times"/>
        </w:rPr>
        <w:t xml:space="preserve"> </w:t>
      </w:r>
      <w:r w:rsidR="004E5E57" w:rsidRPr="004E5E57">
        <w:rPr>
          <w:rFonts w:ascii="Times" w:hAnsi="Times"/>
          <w:noProof/>
        </w:rPr>
        <w:t>Sebastian &amp; Stefan, 2013)</w:t>
      </w:r>
      <w:r w:rsidR="004E5E57">
        <w:rPr>
          <w:rFonts w:ascii="Times" w:hAnsi="Times"/>
          <w:noProof/>
        </w:rPr>
        <w:t xml:space="preserve">. </w:t>
      </w:r>
      <w:r w:rsidR="003F7506">
        <w:rPr>
          <w:rFonts w:ascii="Times" w:hAnsi="Times"/>
          <w:noProof/>
        </w:rPr>
        <w:t>Natural gas, coal</w:t>
      </w:r>
      <w:r w:rsidR="00D91A73">
        <w:rPr>
          <w:rFonts w:ascii="Times" w:hAnsi="Times"/>
          <w:noProof/>
        </w:rPr>
        <w:t>,</w:t>
      </w:r>
      <w:r w:rsidR="003F7506">
        <w:rPr>
          <w:rFonts w:ascii="Times" w:hAnsi="Times"/>
          <w:noProof/>
        </w:rPr>
        <w:t xml:space="preserve"> and crude oil price time series are transformed to their natural logarithms. </w:t>
      </w:r>
      <w:r w:rsidR="00A94C91">
        <w:rPr>
          <w:rFonts w:ascii="Times" w:hAnsi="Times"/>
          <w:noProof/>
        </w:rPr>
        <w:t>This approach is consistent with</w:t>
      </w:r>
      <w:r w:rsidR="00D91A73">
        <w:rPr>
          <w:rFonts w:ascii="Times" w:hAnsi="Times"/>
          <w:noProof/>
        </w:rPr>
        <w:t xml:space="preserve"> </w:t>
      </w:r>
      <w:r w:rsidR="00A94C91">
        <w:rPr>
          <w:rFonts w:ascii="Times" w:hAnsi="Times"/>
          <w:noProof/>
        </w:rPr>
        <w:t xml:space="preserve">macroeconomic literature </w:t>
      </w:r>
      <w:r w:rsidR="009A5B15">
        <w:rPr>
          <w:rFonts w:ascii="Times" w:hAnsi="Times"/>
          <w:noProof/>
        </w:rPr>
        <w:t>(</w:t>
      </w:r>
      <w:r w:rsidR="00A94C91">
        <w:rPr>
          <w:rFonts w:ascii="Times" w:hAnsi="Times"/>
          <w:noProof/>
        </w:rPr>
        <w:t>see</w:t>
      </w:r>
      <w:r w:rsidR="00D91A73">
        <w:rPr>
          <w:rFonts w:ascii="Times" w:hAnsi="Times"/>
          <w:noProof/>
        </w:rPr>
        <w:t>,</w:t>
      </w:r>
      <w:r w:rsidR="00A94C91">
        <w:rPr>
          <w:rFonts w:ascii="Times" w:hAnsi="Times"/>
          <w:noProof/>
        </w:rPr>
        <w:t xml:space="preserve"> for example</w:t>
      </w:r>
      <w:r w:rsidR="00D91A73">
        <w:rPr>
          <w:rFonts w:ascii="Times" w:hAnsi="Times"/>
          <w:noProof/>
        </w:rPr>
        <w:t>,</w:t>
      </w:r>
      <w:r w:rsidR="00A94C91">
        <w:rPr>
          <w:rFonts w:ascii="Times" w:hAnsi="Times"/>
          <w:noProof/>
        </w:rPr>
        <w:t xml:space="preserve"> </w:t>
      </w:r>
      <w:r w:rsidR="00A94C91" w:rsidRPr="00A94C91">
        <w:rPr>
          <w:rFonts w:ascii="Times" w:hAnsi="Times"/>
          <w:noProof/>
        </w:rPr>
        <w:t>Ghyssels &amp; Marcellino, 2018)</w:t>
      </w:r>
      <w:r w:rsidR="009A5B15">
        <w:rPr>
          <w:rFonts w:ascii="Times" w:hAnsi="Times"/>
          <w:noProof/>
        </w:rPr>
        <w:t xml:space="preserve">. I estimate the </w:t>
      </w:r>
      <w:r w:rsidR="00715E2B">
        <w:rPr>
          <w:rFonts w:ascii="Times" w:hAnsi="Times"/>
          <w:noProof/>
        </w:rPr>
        <w:t xml:space="preserve">structural </w:t>
      </w:r>
      <w:r w:rsidR="009A5B15">
        <w:rPr>
          <w:rFonts w:ascii="Times" w:hAnsi="Times"/>
          <w:noProof/>
        </w:rPr>
        <w:t>VAR (vector autoregressive) equation with log-level prices because I am only interested in the dynamic economic relationships between the selected variable</w:t>
      </w:r>
      <w:r w:rsidR="00715E2B">
        <w:rPr>
          <w:rFonts w:ascii="Times" w:hAnsi="Times"/>
          <w:noProof/>
        </w:rPr>
        <w:t>s</w:t>
      </w:r>
      <w:r w:rsidR="009A5B15">
        <w:rPr>
          <w:rFonts w:ascii="Times" w:hAnsi="Times"/>
          <w:noProof/>
        </w:rPr>
        <w:t xml:space="preserve"> with the natural gas market and not any possible cointegration or stationarity. </w:t>
      </w:r>
    </w:p>
    <w:p w14:paraId="57D3011C" w14:textId="5F6BF9C1" w:rsidR="00C238EA" w:rsidRDefault="007E3BE7" w:rsidP="006913F1">
      <w:pPr>
        <w:spacing w:line="480" w:lineRule="auto"/>
        <w:ind w:firstLine="720"/>
        <w:jc w:val="both"/>
        <w:rPr>
          <w:rFonts w:ascii="Times" w:hAnsi="Times"/>
          <w:noProof/>
        </w:rPr>
      </w:pPr>
      <w:r>
        <w:rPr>
          <w:rFonts w:ascii="Times" w:hAnsi="Times"/>
          <w:noProof/>
        </w:rPr>
        <w:t>The natural gas</w:t>
      </w:r>
      <w:r w:rsidR="00AF70E5">
        <w:rPr>
          <w:rFonts w:ascii="Times" w:hAnsi="Times"/>
          <w:noProof/>
        </w:rPr>
        <w:t xml:space="preserve"> </w:t>
      </w:r>
      <w:r>
        <w:rPr>
          <w:rFonts w:ascii="Times" w:hAnsi="Times"/>
          <w:noProof/>
        </w:rPr>
        <w:t xml:space="preserve">demand in the residential heating market is </w:t>
      </w:r>
      <w:r w:rsidR="00D91A73">
        <w:rPr>
          <w:rFonts w:ascii="Times" w:hAnsi="Times"/>
          <w:noProof/>
        </w:rPr>
        <w:t>susceptible</w:t>
      </w:r>
      <w:r>
        <w:rPr>
          <w:rFonts w:ascii="Times" w:hAnsi="Times"/>
          <w:noProof/>
        </w:rPr>
        <w:t xml:space="preserve"> to temperature. As such, in a liberalized market, it is expected that storage operators will exploit predictable seasonal demand variations. Therefore, extraordinary short-term weather conditions </w:t>
      </w:r>
      <w:r w:rsidR="00D91A73">
        <w:rPr>
          <w:rFonts w:ascii="Times" w:hAnsi="Times"/>
          <w:noProof/>
        </w:rPr>
        <w:t>that</w:t>
      </w:r>
      <w:r>
        <w:rPr>
          <w:rFonts w:ascii="Times" w:hAnsi="Times"/>
          <w:noProof/>
        </w:rPr>
        <w:t xml:space="preserve"> </w:t>
      </w:r>
      <w:r w:rsidR="00D91A73">
        <w:rPr>
          <w:rFonts w:ascii="Times" w:hAnsi="Times"/>
          <w:noProof/>
        </w:rPr>
        <w:t>cause</w:t>
      </w:r>
      <w:r>
        <w:rPr>
          <w:rFonts w:ascii="Times" w:hAnsi="Times"/>
          <w:noProof/>
        </w:rPr>
        <w:t xml:space="preserve"> a shift in demand are </w:t>
      </w:r>
      <w:r w:rsidR="00AF70E5">
        <w:rPr>
          <w:rFonts w:ascii="Times" w:hAnsi="Times"/>
          <w:noProof/>
        </w:rPr>
        <w:t xml:space="preserve">expected to be </w:t>
      </w:r>
      <w:r w:rsidR="00D91A73">
        <w:rPr>
          <w:rFonts w:ascii="Times" w:hAnsi="Times"/>
          <w:noProof/>
        </w:rPr>
        <w:t>relevant</w:t>
      </w:r>
      <w:r w:rsidR="00AF70E5">
        <w:rPr>
          <w:rFonts w:ascii="Times" w:hAnsi="Times"/>
          <w:noProof/>
        </w:rPr>
        <w:t xml:space="preserve"> to gas price formation and not predictable seasonal patterns. Consequently, I construct degree day deviations (</w:t>
      </w:r>
      <w:r w:rsidR="00D91A73">
        <w:rPr>
          <w:rFonts w:ascii="Times" w:hAnsi="Times"/>
          <w:noProof/>
        </w:rPr>
        <w:t>D.D.</w:t>
      </w:r>
      <w:r w:rsidR="00AF70E5">
        <w:rPr>
          <w:rFonts w:ascii="Times" w:hAnsi="Times"/>
          <w:noProof/>
        </w:rPr>
        <w:t xml:space="preserve">) from normal historical averages </w:t>
      </w:r>
      <w:r w:rsidR="00D91A73">
        <w:rPr>
          <w:rFonts w:ascii="Times" w:hAnsi="Times"/>
          <w:noProof/>
        </w:rPr>
        <w:t xml:space="preserve">to </w:t>
      </w:r>
      <w:r w:rsidR="00D91A73">
        <w:rPr>
          <w:rFonts w:ascii="Times" w:hAnsi="Times"/>
          <w:noProof/>
        </w:rPr>
        <w:lastRenderedPageBreak/>
        <w:t>determine</w:t>
      </w:r>
      <w:r w:rsidR="00AF70E5">
        <w:rPr>
          <w:rFonts w:ascii="Times" w:hAnsi="Times"/>
          <w:noProof/>
        </w:rPr>
        <w:t xml:space="preserve"> gas prices. </w:t>
      </w:r>
      <w:r w:rsidR="00DE34FD">
        <w:rPr>
          <w:rFonts w:ascii="Times" w:hAnsi="Times"/>
          <w:noProof/>
        </w:rPr>
        <w:t>Temperature</w:t>
      </w:r>
      <w:r w:rsidR="00C238EA">
        <w:rPr>
          <w:rFonts w:ascii="Times" w:hAnsi="Times"/>
          <w:noProof/>
        </w:rPr>
        <w:t xml:space="preserve"> expressed in degree days is a quantitative index </w:t>
      </w:r>
      <w:r w:rsidR="00D91A73">
        <w:rPr>
          <w:rFonts w:ascii="Times" w:hAnsi="Times"/>
          <w:noProof/>
        </w:rPr>
        <w:t>that</w:t>
      </w:r>
      <w:r w:rsidR="00C238EA">
        <w:rPr>
          <w:rFonts w:ascii="Times" w:hAnsi="Times"/>
          <w:noProof/>
        </w:rPr>
        <w:t xml:space="preserve"> reflects </w:t>
      </w:r>
      <w:r w:rsidR="00D91A73">
        <w:rPr>
          <w:rFonts w:ascii="Times" w:hAnsi="Times"/>
          <w:noProof/>
        </w:rPr>
        <w:t xml:space="preserve">a </w:t>
      </w:r>
      <w:r w:rsidR="00C238EA">
        <w:rPr>
          <w:rFonts w:ascii="Times" w:hAnsi="Times"/>
          <w:noProof/>
        </w:rPr>
        <w:t>demand for energy to heat o</w:t>
      </w:r>
      <w:r w:rsidR="008435EF">
        <w:rPr>
          <w:rFonts w:ascii="Times" w:hAnsi="Times"/>
          <w:noProof/>
        </w:rPr>
        <w:t>r</w:t>
      </w:r>
      <w:r w:rsidR="00C238EA">
        <w:rPr>
          <w:rFonts w:ascii="Times" w:hAnsi="Times"/>
          <w:noProof/>
        </w:rPr>
        <w:t xml:space="preserve"> cool house</w:t>
      </w:r>
      <w:r w:rsidR="008435EF">
        <w:rPr>
          <w:rFonts w:ascii="Times" w:hAnsi="Times"/>
          <w:noProof/>
        </w:rPr>
        <w:t xml:space="preserve">s </w:t>
      </w:r>
      <w:r w:rsidR="00C238EA">
        <w:rPr>
          <w:rFonts w:ascii="Times" w:hAnsi="Times"/>
          <w:noProof/>
        </w:rPr>
        <w:t xml:space="preserve">and businesses. </w:t>
      </w:r>
      <w:r w:rsidR="002605B1">
        <w:rPr>
          <w:rFonts w:ascii="Times" w:hAnsi="Times"/>
          <w:noProof/>
        </w:rPr>
        <w:t xml:space="preserve">Degree </w:t>
      </w:r>
      <w:r w:rsidR="00715E2B">
        <w:rPr>
          <w:rFonts w:ascii="Times" w:hAnsi="Times"/>
          <w:noProof/>
        </w:rPr>
        <w:t>days (</w:t>
      </w:r>
      <w:r w:rsidR="00D91A73">
        <w:rPr>
          <w:rFonts w:ascii="Times" w:hAnsi="Times"/>
          <w:noProof/>
        </w:rPr>
        <w:t>D.D.</w:t>
      </w:r>
      <w:r w:rsidR="00715E2B">
        <w:rPr>
          <w:rFonts w:ascii="Times" w:hAnsi="Times"/>
          <w:noProof/>
        </w:rPr>
        <w:t xml:space="preserve">) is the sum of heating degree days (HDD) </w:t>
      </w:r>
      <w:r w:rsidR="00BC1075">
        <w:rPr>
          <w:rFonts w:ascii="Times" w:hAnsi="Times"/>
          <w:noProof/>
        </w:rPr>
        <w:t xml:space="preserve">in the winter </w:t>
      </w:r>
      <w:r w:rsidR="00715E2B">
        <w:rPr>
          <w:rFonts w:ascii="Times" w:hAnsi="Times"/>
          <w:noProof/>
        </w:rPr>
        <w:t>and cooling degree days (CDD)</w:t>
      </w:r>
      <w:r w:rsidR="00BC1075">
        <w:rPr>
          <w:rFonts w:ascii="Times" w:hAnsi="Times"/>
          <w:noProof/>
        </w:rPr>
        <w:t xml:space="preserve"> in the summer</w:t>
      </w:r>
      <w:r w:rsidR="00715E2B">
        <w:rPr>
          <w:rFonts w:ascii="Times" w:hAnsi="Times"/>
          <w:noProof/>
        </w:rPr>
        <w:t xml:space="preserve">. </w:t>
      </w:r>
      <w:r w:rsidR="00715E2B" w:rsidRPr="00715E2B">
        <w:rPr>
          <w:rStyle w:val="FootnoteReference"/>
          <w:rFonts w:ascii="Times" w:hAnsi="Times"/>
          <w:noProof/>
          <w:sz w:val="32"/>
          <w:szCs w:val="32"/>
        </w:rPr>
        <w:footnoteReference w:id="3"/>
      </w:r>
    </w:p>
    <w:p w14:paraId="04E4A87E" w14:textId="6BBDB7E2" w:rsidR="00715E2B" w:rsidRDefault="00715E2B" w:rsidP="00AC0DFB">
      <w:pPr>
        <w:ind w:firstLine="720"/>
        <w:jc w:val="both"/>
        <w:rPr>
          <w:rFonts w:ascii="Times" w:hAnsi="Times"/>
          <w:noProof/>
        </w:rPr>
      </w:pPr>
      <w:r>
        <w:rPr>
          <w:rFonts w:ascii="Times" w:hAnsi="Times"/>
          <w:noProof/>
        </w:rPr>
        <w:t>DD</w:t>
      </w:r>
      <w:r w:rsidRPr="00715E2B">
        <w:rPr>
          <w:rFonts w:ascii="Times" w:hAnsi="Times"/>
          <w:noProof/>
          <w:sz w:val="36"/>
          <w:szCs w:val="36"/>
          <w:vertAlign w:val="subscript"/>
        </w:rPr>
        <w:t>t</w:t>
      </w:r>
      <w:r>
        <w:rPr>
          <w:rFonts w:ascii="Times" w:hAnsi="Times"/>
          <w:noProof/>
        </w:rPr>
        <w:t xml:space="preserve"> = CDD</w:t>
      </w:r>
      <w:r w:rsidRPr="00715E2B">
        <w:rPr>
          <w:rFonts w:ascii="Times" w:hAnsi="Times"/>
          <w:noProof/>
          <w:sz w:val="36"/>
          <w:szCs w:val="36"/>
          <w:vertAlign w:val="subscript"/>
        </w:rPr>
        <w:t>t</w:t>
      </w:r>
      <w:r>
        <w:rPr>
          <w:rFonts w:ascii="Times" w:hAnsi="Times"/>
          <w:noProof/>
        </w:rPr>
        <w:t>+ HDD</w:t>
      </w:r>
      <w:r w:rsidRPr="00715E2B">
        <w:rPr>
          <w:rFonts w:ascii="Times" w:hAnsi="Times"/>
          <w:noProof/>
          <w:sz w:val="36"/>
          <w:szCs w:val="36"/>
          <w:vertAlign w:val="subscript"/>
        </w:rPr>
        <w:t>t</w:t>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t>(1)</w:t>
      </w:r>
    </w:p>
    <w:p w14:paraId="43C60592" w14:textId="68445448" w:rsidR="00715E2B" w:rsidRDefault="00715E2B" w:rsidP="00AC0DFB">
      <w:pPr>
        <w:ind w:firstLine="720"/>
        <w:jc w:val="both"/>
        <w:rPr>
          <w:rFonts w:ascii="Times" w:hAnsi="Times"/>
          <w:noProof/>
        </w:rPr>
      </w:pPr>
      <w:r>
        <w:rPr>
          <w:rFonts w:ascii="Times" w:hAnsi="Times"/>
          <w:noProof/>
        </w:rPr>
        <w:t>CDD</w:t>
      </w:r>
      <w:r w:rsidRPr="00715E2B">
        <w:rPr>
          <w:rFonts w:ascii="Times" w:hAnsi="Times"/>
          <w:noProof/>
          <w:sz w:val="36"/>
          <w:szCs w:val="36"/>
          <w:vertAlign w:val="subscript"/>
        </w:rPr>
        <w:t>t</w:t>
      </w:r>
      <w:r>
        <w:rPr>
          <w:rFonts w:ascii="Times" w:hAnsi="Times"/>
          <w:noProof/>
        </w:rPr>
        <w:t>= Max (0, Tave</w:t>
      </w:r>
      <w:r w:rsidRPr="00715E2B">
        <w:rPr>
          <w:rFonts w:ascii="Times" w:hAnsi="Times"/>
          <w:noProof/>
          <w:sz w:val="36"/>
          <w:szCs w:val="36"/>
          <w:vertAlign w:val="subscript"/>
        </w:rPr>
        <w:t>t</w:t>
      </w:r>
      <w:r>
        <w:rPr>
          <w:rFonts w:ascii="Times" w:hAnsi="Times"/>
          <w:noProof/>
        </w:rPr>
        <w:t xml:space="preserve"> – 65</w:t>
      </w:r>
      <w:r w:rsidRPr="00715E2B">
        <w:rPr>
          <w:rFonts w:ascii="Times" w:hAnsi="Times"/>
          <w:noProof/>
          <w:sz w:val="36"/>
          <w:szCs w:val="36"/>
          <w:vertAlign w:val="superscript"/>
        </w:rPr>
        <w:t>o</w:t>
      </w:r>
      <w:r>
        <w:rPr>
          <w:rFonts w:ascii="Times" w:hAnsi="Times"/>
          <w:noProof/>
        </w:rPr>
        <w:t xml:space="preserve"> F)</w:t>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t>(1.a)</w:t>
      </w:r>
    </w:p>
    <w:p w14:paraId="073E850A" w14:textId="242D7CE6" w:rsidR="00715E2B" w:rsidRDefault="00715E2B" w:rsidP="00AC0DFB">
      <w:pPr>
        <w:ind w:firstLine="720"/>
        <w:jc w:val="both"/>
        <w:rPr>
          <w:rFonts w:ascii="Times" w:hAnsi="Times"/>
          <w:noProof/>
        </w:rPr>
      </w:pPr>
      <w:r>
        <w:rPr>
          <w:rFonts w:ascii="Times" w:hAnsi="Times"/>
          <w:noProof/>
        </w:rPr>
        <w:t>HDD</w:t>
      </w:r>
      <w:r w:rsidRPr="00715E2B">
        <w:rPr>
          <w:rFonts w:ascii="Times" w:hAnsi="Times"/>
          <w:noProof/>
          <w:sz w:val="36"/>
          <w:szCs w:val="36"/>
          <w:vertAlign w:val="subscript"/>
        </w:rPr>
        <w:t>t</w:t>
      </w:r>
      <w:r>
        <w:rPr>
          <w:rFonts w:ascii="Times" w:hAnsi="Times"/>
          <w:noProof/>
        </w:rPr>
        <w:t xml:space="preserve"> = Max</w:t>
      </w:r>
      <w:r w:rsidR="00AC0DFB">
        <w:rPr>
          <w:rFonts w:ascii="Times" w:hAnsi="Times"/>
          <w:noProof/>
        </w:rPr>
        <w:t xml:space="preserve"> </w:t>
      </w:r>
      <w:r>
        <w:rPr>
          <w:rFonts w:ascii="Times" w:hAnsi="Times"/>
          <w:noProof/>
        </w:rPr>
        <w:t>(0, 65</w:t>
      </w:r>
      <w:r w:rsidRPr="00715E2B">
        <w:rPr>
          <w:rFonts w:ascii="Times" w:hAnsi="Times"/>
          <w:noProof/>
          <w:sz w:val="36"/>
          <w:szCs w:val="36"/>
          <w:vertAlign w:val="superscript"/>
        </w:rPr>
        <w:t>o</w:t>
      </w:r>
      <w:r>
        <w:rPr>
          <w:rFonts w:ascii="Times" w:hAnsi="Times"/>
          <w:noProof/>
        </w:rPr>
        <w:t>F – Tave</w:t>
      </w:r>
      <w:r w:rsidRPr="00715E2B">
        <w:rPr>
          <w:rFonts w:ascii="Times" w:hAnsi="Times"/>
          <w:noProof/>
          <w:sz w:val="36"/>
          <w:szCs w:val="36"/>
          <w:vertAlign w:val="subscript"/>
        </w:rPr>
        <w:t>t</w:t>
      </w:r>
      <w:r>
        <w:rPr>
          <w:rFonts w:ascii="Times" w:hAnsi="Times"/>
          <w:noProof/>
        </w:rPr>
        <w:t>)</w:t>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r>
      <w:r>
        <w:rPr>
          <w:rFonts w:ascii="Times" w:hAnsi="Times"/>
          <w:noProof/>
        </w:rPr>
        <w:tab/>
        <w:t>(1.b)</w:t>
      </w:r>
    </w:p>
    <w:p w14:paraId="7A6ED96D" w14:textId="04A261C4" w:rsidR="00715E2B" w:rsidRPr="00BC1075" w:rsidRDefault="009055B2" w:rsidP="00087908">
      <w:pPr>
        <w:spacing w:line="480" w:lineRule="auto"/>
        <w:jc w:val="both"/>
        <w:rPr>
          <w:rFonts w:ascii="Times" w:hAnsi="Times"/>
          <w:noProof/>
        </w:rPr>
      </w:pPr>
      <w:r>
        <w:rPr>
          <w:rFonts w:ascii="Times" w:hAnsi="Times"/>
          <w:noProof/>
        </w:rPr>
        <w:t>w</w:t>
      </w:r>
      <w:r w:rsidR="00BC1075">
        <w:rPr>
          <w:rFonts w:ascii="Times" w:hAnsi="Times"/>
          <w:noProof/>
        </w:rPr>
        <w:t>here Tave</w:t>
      </w:r>
      <w:r w:rsidR="00BC1075" w:rsidRPr="00715E2B">
        <w:rPr>
          <w:rFonts w:ascii="Times" w:hAnsi="Times"/>
          <w:noProof/>
          <w:sz w:val="36"/>
          <w:szCs w:val="36"/>
          <w:vertAlign w:val="subscript"/>
        </w:rPr>
        <w:t>t</w:t>
      </w:r>
      <w:r w:rsidR="00BC1075">
        <w:rPr>
          <w:rFonts w:ascii="Times" w:hAnsi="Times"/>
          <w:noProof/>
          <w:sz w:val="36"/>
          <w:szCs w:val="36"/>
          <w:vertAlign w:val="subscript"/>
        </w:rPr>
        <w:t xml:space="preserve"> </w:t>
      </w:r>
      <w:r w:rsidR="00BC1075">
        <w:rPr>
          <w:rFonts w:ascii="Times" w:hAnsi="Times"/>
          <w:noProof/>
        </w:rPr>
        <w:t xml:space="preserve">is the average daily temperature of date </w:t>
      </w:r>
      <w:r w:rsidR="00BC1075" w:rsidRPr="00BC1075">
        <w:rPr>
          <w:rFonts w:ascii="Times" w:hAnsi="Times"/>
          <w:i/>
          <w:noProof/>
        </w:rPr>
        <w:t>t</w:t>
      </w:r>
      <w:r w:rsidR="00BC1075">
        <w:rPr>
          <w:rFonts w:ascii="Times" w:hAnsi="Times"/>
          <w:i/>
          <w:noProof/>
        </w:rPr>
        <w:t>.</w:t>
      </w:r>
    </w:p>
    <w:p w14:paraId="155969BC" w14:textId="7C80DE7C" w:rsidR="00C238EA" w:rsidRDefault="00BC1075" w:rsidP="00087908">
      <w:pPr>
        <w:spacing w:line="480" w:lineRule="auto"/>
        <w:jc w:val="both"/>
        <w:rPr>
          <w:rFonts w:ascii="Times" w:hAnsi="Times"/>
          <w:noProof/>
        </w:rPr>
      </w:pPr>
      <w:r w:rsidRPr="009055B2">
        <w:rPr>
          <w:rFonts w:ascii="Times" w:hAnsi="Times"/>
          <w:noProof/>
        </w:rPr>
        <w:t xml:space="preserve">The weather shock </w:t>
      </w:r>
      <w:r w:rsidR="005C550F" w:rsidRPr="009055B2">
        <w:rPr>
          <w:rFonts w:ascii="Times" w:hAnsi="Times"/>
          <w:noProof/>
        </w:rPr>
        <w:t xml:space="preserve">is defined as the deviation of </w:t>
      </w:r>
      <w:r w:rsidR="00D91A73">
        <w:rPr>
          <w:rFonts w:ascii="Times" w:hAnsi="Times"/>
          <w:noProof/>
        </w:rPr>
        <w:t>D.D.s</w:t>
      </w:r>
      <w:r w:rsidR="005C550F" w:rsidRPr="009055B2">
        <w:rPr>
          <w:rFonts w:ascii="Times" w:hAnsi="Times"/>
          <w:noProof/>
        </w:rPr>
        <w:t xml:space="preserve"> from the normal level over the</w:t>
      </w:r>
      <w:r w:rsidR="00F418AB" w:rsidRPr="009055B2">
        <w:rPr>
          <w:rFonts w:ascii="Times" w:hAnsi="Times"/>
          <w:noProof/>
        </w:rPr>
        <w:t xml:space="preserve"> period</w:t>
      </w:r>
    </w:p>
    <w:p w14:paraId="0CBAA8FA" w14:textId="48B99485" w:rsidR="005C550F" w:rsidRPr="008B1B97" w:rsidRDefault="005C550F" w:rsidP="00F418AB">
      <w:pPr>
        <w:spacing w:line="480" w:lineRule="auto"/>
        <w:ind w:firstLine="720"/>
        <w:jc w:val="both"/>
        <w:rPr>
          <w:rFonts w:ascii="Times" w:eastAsiaTheme="minorEastAsia" w:hAnsi="Times"/>
          <w:noProof/>
        </w:rPr>
      </w:pPr>
      <w:r w:rsidRPr="008B1B97">
        <w:rPr>
          <w:rFonts w:ascii="Times" w:hAnsi="Times"/>
          <w:i/>
          <w:noProof/>
        </w:rPr>
        <w:t>W</w:t>
      </w:r>
      <w:r w:rsidRPr="008B1B97">
        <w:rPr>
          <w:rFonts w:ascii="Times" w:hAnsi="Times"/>
          <w:i/>
          <w:noProof/>
          <w:sz w:val="32"/>
          <w:szCs w:val="32"/>
          <w:vertAlign w:val="subscript"/>
        </w:rPr>
        <w:t>t</w:t>
      </w:r>
      <w:r w:rsidRPr="008B1B97">
        <w:rPr>
          <w:rFonts w:ascii="Times" w:hAnsi="Times"/>
          <w:noProof/>
          <w:sz w:val="32"/>
          <w:szCs w:val="32"/>
          <w:vertAlign w:val="subscript"/>
        </w:rPr>
        <w:t xml:space="preserve"> </w:t>
      </w:r>
      <w:r w:rsidR="008B1B97">
        <w:rPr>
          <w:rFonts w:ascii="Times" w:hAnsi="Times"/>
          <w:noProof/>
        </w:rPr>
        <w:t xml:space="preserve">= </w:t>
      </w:r>
      <m:oMath>
        <m:nary>
          <m:naryPr>
            <m:chr m:val="∑"/>
            <m:limLoc m:val="undOvr"/>
            <m:ctrlPr>
              <w:rPr>
                <w:rFonts w:ascii="Cambria Math" w:eastAsiaTheme="minorHAnsi" w:hAnsi="Cambria Math" w:cstheme="minorBidi"/>
                <w:i/>
                <w:noProof/>
                <w:vertAlign w:val="subscript"/>
              </w:rPr>
            </m:ctrlPr>
          </m:naryPr>
          <m:sub>
            <m:r>
              <w:rPr>
                <w:rFonts w:ascii="Cambria Math" w:hAnsi="Cambria Math"/>
                <w:noProof/>
                <w:vertAlign w:val="subscript"/>
              </w:rPr>
              <m:t>i=1</m:t>
            </m:r>
          </m:sub>
          <m:sup>
            <m:r>
              <w:rPr>
                <w:rFonts w:ascii="Cambria Math" w:hAnsi="Cambria Math"/>
                <w:noProof/>
                <w:vertAlign w:val="subscript"/>
              </w:rPr>
              <m:t>m</m:t>
            </m:r>
          </m:sup>
          <m:e>
            <m:d>
              <m:dPr>
                <m:ctrlPr>
                  <w:rPr>
                    <w:rFonts w:ascii="Cambria Math" w:eastAsiaTheme="minorHAnsi" w:hAnsi="Cambria Math" w:cstheme="minorBidi"/>
                    <w:i/>
                    <w:noProof/>
                    <w:vertAlign w:val="subscript"/>
                  </w:rPr>
                </m:ctrlPr>
              </m:dPr>
              <m:e>
                <m:sSub>
                  <m:sSubPr>
                    <m:ctrlPr>
                      <w:rPr>
                        <w:rFonts w:ascii="Cambria Math" w:eastAsiaTheme="minorHAnsi" w:hAnsi="Cambria Math" w:cstheme="minorBidi"/>
                        <w:i/>
                        <w:noProof/>
                        <w:vertAlign w:val="subscript"/>
                      </w:rPr>
                    </m:ctrlPr>
                  </m:sSubPr>
                  <m:e>
                    <m:r>
                      <w:rPr>
                        <w:rFonts w:ascii="Cambria Math" w:hAnsi="Cambria Math"/>
                        <w:noProof/>
                        <w:vertAlign w:val="subscript"/>
                      </w:rPr>
                      <m:t>DD</m:t>
                    </m:r>
                  </m:e>
                  <m:sub>
                    <m:r>
                      <w:rPr>
                        <w:rFonts w:ascii="Cambria Math" w:hAnsi="Cambria Math"/>
                        <w:noProof/>
                        <w:vertAlign w:val="subscript"/>
                      </w:rPr>
                      <m:t>t+i</m:t>
                    </m:r>
                  </m:sub>
                </m:sSub>
                <m:r>
                  <w:rPr>
                    <w:rFonts w:ascii="Cambria Math" w:hAnsi="Cambria Math"/>
                    <w:noProof/>
                    <w:vertAlign w:val="subscript"/>
                  </w:rPr>
                  <m:t xml:space="preserve"> -</m:t>
                </m:r>
                <m:sSub>
                  <m:sSubPr>
                    <m:ctrlPr>
                      <w:rPr>
                        <w:rFonts w:ascii="Cambria Math" w:eastAsiaTheme="minorHAnsi" w:hAnsi="Cambria Math" w:cstheme="minorBidi"/>
                        <w:i/>
                        <w:noProof/>
                        <w:vertAlign w:val="subscript"/>
                      </w:rPr>
                    </m:ctrlPr>
                  </m:sSubPr>
                  <m:e>
                    <m:r>
                      <w:rPr>
                        <w:rFonts w:ascii="Cambria Math" w:hAnsi="Cambria Math"/>
                        <w:noProof/>
                        <w:vertAlign w:val="subscript"/>
                      </w:rPr>
                      <m:t>DDNORM</m:t>
                    </m:r>
                  </m:e>
                  <m:sub>
                    <m:r>
                      <w:rPr>
                        <w:rFonts w:ascii="Cambria Math" w:hAnsi="Cambria Math"/>
                        <w:noProof/>
                        <w:vertAlign w:val="subscript"/>
                      </w:rPr>
                      <m:t>t+i</m:t>
                    </m:r>
                  </m:sub>
                </m:sSub>
              </m:e>
            </m:d>
          </m:e>
        </m:nary>
      </m:oMath>
      <w:r w:rsidRPr="008B1B97">
        <w:rPr>
          <w:rFonts w:ascii="Times" w:eastAsiaTheme="minorEastAsia" w:hAnsi="Times"/>
          <w:noProof/>
          <w:vertAlign w:val="subscript"/>
        </w:rPr>
        <w:tab/>
      </w:r>
      <w:r w:rsidRPr="008B1B97">
        <w:rPr>
          <w:rFonts w:ascii="Times" w:eastAsiaTheme="minorEastAsia" w:hAnsi="Times"/>
          <w:noProof/>
          <w:vertAlign w:val="subscript"/>
        </w:rPr>
        <w:tab/>
      </w:r>
      <w:r w:rsidRPr="008B1B97">
        <w:rPr>
          <w:rFonts w:ascii="Times" w:eastAsiaTheme="minorEastAsia" w:hAnsi="Times"/>
          <w:noProof/>
          <w:vertAlign w:val="subscript"/>
        </w:rPr>
        <w:tab/>
      </w:r>
      <w:r w:rsidRPr="008B1B97">
        <w:rPr>
          <w:rFonts w:ascii="Times" w:eastAsiaTheme="minorEastAsia" w:hAnsi="Times"/>
          <w:noProof/>
          <w:vertAlign w:val="subscript"/>
        </w:rPr>
        <w:tab/>
      </w:r>
      <w:r w:rsidRPr="008B1B97">
        <w:rPr>
          <w:rFonts w:ascii="Times" w:eastAsiaTheme="minorEastAsia" w:hAnsi="Times"/>
          <w:noProof/>
          <w:vertAlign w:val="subscript"/>
        </w:rPr>
        <w:tab/>
      </w:r>
      <w:r w:rsidRPr="008B1B97">
        <w:rPr>
          <w:rFonts w:ascii="Times" w:eastAsiaTheme="minorEastAsia" w:hAnsi="Times"/>
          <w:noProof/>
        </w:rPr>
        <w:t>(2)</w:t>
      </w:r>
    </w:p>
    <w:p w14:paraId="32497A81" w14:textId="35301C30" w:rsidR="007E3BE7" w:rsidRDefault="006913F1" w:rsidP="00087908">
      <w:pPr>
        <w:spacing w:line="480" w:lineRule="auto"/>
        <w:jc w:val="both"/>
        <w:rPr>
          <w:rFonts w:ascii="Times" w:hAnsi="Times"/>
          <w:noProof/>
        </w:rPr>
      </w:pPr>
      <w:r w:rsidRPr="009055B2">
        <w:rPr>
          <w:rFonts w:ascii="Times" w:eastAsiaTheme="minorEastAsia" w:hAnsi="Times"/>
          <w:noProof/>
        </w:rPr>
        <w:t>w</w:t>
      </w:r>
      <w:r w:rsidR="00F418AB" w:rsidRPr="009055B2">
        <w:rPr>
          <w:rFonts w:ascii="Times" w:eastAsiaTheme="minorEastAsia" w:hAnsi="Times"/>
          <w:noProof/>
        </w:rPr>
        <w:t xml:space="preserve">here </w:t>
      </w:r>
      <w:r w:rsidR="00F418AB" w:rsidRPr="009055B2">
        <w:rPr>
          <w:rFonts w:ascii="Times" w:eastAsiaTheme="minorEastAsia" w:hAnsi="Times"/>
          <w:i/>
          <w:noProof/>
        </w:rPr>
        <w:t xml:space="preserve">m </w:t>
      </w:r>
      <w:r w:rsidR="00F418AB" w:rsidRPr="009055B2">
        <w:rPr>
          <w:rFonts w:ascii="Times" w:eastAsiaTheme="minorEastAsia" w:hAnsi="Times"/>
          <w:noProof/>
        </w:rPr>
        <w:t xml:space="preserve">is the weather period, </w:t>
      </w:r>
      <m:oMath>
        <m:sSub>
          <m:sSubPr>
            <m:ctrlPr>
              <w:rPr>
                <w:rFonts w:ascii="Cambria Math" w:eastAsiaTheme="minorEastAsia" w:hAnsi="Cambria Math"/>
                <w:i/>
                <w:noProof/>
                <w:vertAlign w:val="subscript"/>
              </w:rPr>
            </m:ctrlPr>
          </m:sSubPr>
          <m:e>
            <m:r>
              <w:rPr>
                <w:rFonts w:ascii="Cambria Math" w:eastAsiaTheme="minorEastAsia" w:hAnsi="Cambria Math"/>
                <w:noProof/>
                <w:vertAlign w:val="subscript"/>
              </w:rPr>
              <m:t>DD</m:t>
            </m:r>
          </m:e>
          <m:sub>
            <m:r>
              <w:rPr>
                <w:rFonts w:ascii="Cambria Math" w:eastAsiaTheme="minorEastAsia" w:hAnsi="Cambria Math"/>
                <w:noProof/>
                <w:vertAlign w:val="subscript"/>
              </w:rPr>
              <m:t>t+i</m:t>
            </m:r>
          </m:sub>
        </m:sSub>
      </m:oMath>
      <w:r w:rsidR="00F418AB" w:rsidRPr="009055B2">
        <w:rPr>
          <w:rFonts w:ascii="Times" w:eastAsiaTheme="minorEastAsia" w:hAnsi="Times"/>
          <w:noProof/>
        </w:rPr>
        <w:t xml:space="preserve"> is the degree days on day </w:t>
      </w:r>
      <w:r w:rsidR="00F418AB" w:rsidRPr="009055B2">
        <w:rPr>
          <w:rFonts w:ascii="Times" w:eastAsiaTheme="minorEastAsia" w:hAnsi="Times"/>
          <w:i/>
          <w:noProof/>
        </w:rPr>
        <w:t>t+i</w:t>
      </w:r>
      <w:r w:rsidR="00F418AB" w:rsidRPr="009055B2">
        <w:rPr>
          <w:rFonts w:ascii="Times" w:eastAsiaTheme="minorEastAsia" w:hAnsi="Times"/>
          <w:noProof/>
        </w:rPr>
        <w:t xml:space="preserve">, </w:t>
      </w:r>
      <m:oMath>
        <m:sSub>
          <m:sSubPr>
            <m:ctrlPr>
              <w:rPr>
                <w:rFonts w:ascii="Cambria Math" w:eastAsiaTheme="minorEastAsia" w:hAnsi="Cambria Math"/>
                <w:i/>
                <w:noProof/>
                <w:vertAlign w:val="subscript"/>
              </w:rPr>
            </m:ctrlPr>
          </m:sSubPr>
          <m:e>
            <m:r>
              <w:rPr>
                <w:rFonts w:ascii="Cambria Math" w:eastAsiaTheme="minorEastAsia" w:hAnsi="Cambria Math"/>
                <w:noProof/>
                <w:vertAlign w:val="subscript"/>
              </w:rPr>
              <m:t>DDNORM</m:t>
            </m:r>
          </m:e>
          <m:sub>
            <m:r>
              <w:rPr>
                <w:rFonts w:ascii="Cambria Math" w:eastAsiaTheme="minorEastAsia" w:hAnsi="Cambria Math"/>
                <w:noProof/>
                <w:vertAlign w:val="subscript"/>
              </w:rPr>
              <m:t>t+i</m:t>
            </m:r>
          </m:sub>
        </m:sSub>
      </m:oMath>
      <w:r w:rsidR="00F418AB" w:rsidRPr="009055B2">
        <w:rPr>
          <w:rFonts w:ascii="Times" w:eastAsiaTheme="minorEastAsia" w:hAnsi="Times"/>
          <w:noProof/>
        </w:rPr>
        <w:t xml:space="preserve"> is the normal</w:t>
      </w:r>
      <w:r w:rsidR="00F418AB">
        <w:rPr>
          <w:rFonts w:ascii="Times" w:eastAsiaTheme="minorEastAsia" w:hAnsi="Times"/>
          <w:noProof/>
        </w:rPr>
        <w:t xml:space="preserve"> degree days which is the average degree days of the previous 30 years on day </w:t>
      </w:r>
      <w:r w:rsidR="00F418AB" w:rsidRPr="00F418AB">
        <w:rPr>
          <w:rFonts w:ascii="Times" w:eastAsiaTheme="minorEastAsia" w:hAnsi="Times"/>
          <w:i/>
          <w:noProof/>
        </w:rPr>
        <w:t>t+</w:t>
      </w:r>
      <w:r w:rsidR="00F418AB">
        <w:rPr>
          <w:rFonts w:ascii="Times" w:eastAsiaTheme="minorEastAsia" w:hAnsi="Times"/>
          <w:i/>
          <w:noProof/>
        </w:rPr>
        <w:t>i.</w:t>
      </w:r>
      <w:r w:rsidR="00F418AB">
        <w:rPr>
          <w:rFonts w:ascii="Times" w:hAnsi="Times"/>
          <w:noProof/>
        </w:rPr>
        <w:t xml:space="preserve"> </w:t>
      </w:r>
      <w:r w:rsidR="00AF70E5">
        <w:rPr>
          <w:rFonts w:ascii="Times" w:hAnsi="Times"/>
          <w:noProof/>
        </w:rPr>
        <w:t>The use of deviation</w:t>
      </w:r>
      <w:r w:rsidR="00C238EA">
        <w:rPr>
          <w:rFonts w:ascii="Times" w:hAnsi="Times"/>
          <w:noProof/>
        </w:rPr>
        <w:t xml:space="preserve">s of the </w:t>
      </w:r>
      <w:r w:rsidR="00AF70E5">
        <w:rPr>
          <w:rFonts w:ascii="Times" w:hAnsi="Times"/>
          <w:noProof/>
        </w:rPr>
        <w:t xml:space="preserve">observed </w:t>
      </w:r>
      <w:r w:rsidR="00D91A73">
        <w:rPr>
          <w:rFonts w:ascii="Times" w:hAnsi="Times"/>
          <w:noProof/>
        </w:rPr>
        <w:t>D.D.</w:t>
      </w:r>
      <w:r w:rsidR="00C238EA">
        <w:rPr>
          <w:rFonts w:ascii="Times" w:hAnsi="Times"/>
          <w:noProof/>
        </w:rPr>
        <w:t xml:space="preserve"> from their historical averages </w:t>
      </w:r>
      <w:r w:rsidR="00D91A73">
        <w:rPr>
          <w:rFonts w:ascii="Times" w:hAnsi="Times"/>
          <w:noProof/>
        </w:rPr>
        <w:t>estimates</w:t>
      </w:r>
      <w:r w:rsidR="00C238EA">
        <w:rPr>
          <w:rFonts w:ascii="Times" w:hAnsi="Times"/>
          <w:noProof/>
        </w:rPr>
        <w:t xml:space="preserve"> the effect of unexpected conditions on gas prices.</w:t>
      </w:r>
      <w:r w:rsidR="00CB5BD4">
        <w:rPr>
          <w:rFonts w:ascii="Times" w:hAnsi="Times"/>
          <w:noProof/>
        </w:rPr>
        <w:t xml:space="preserve"> </w:t>
      </w:r>
    </w:p>
    <w:p w14:paraId="1FF28F3F" w14:textId="1C91AC39" w:rsidR="006D78CB" w:rsidRDefault="007C1EE3" w:rsidP="0052436D">
      <w:pPr>
        <w:spacing w:line="480" w:lineRule="auto"/>
        <w:ind w:firstLine="720"/>
        <w:jc w:val="both"/>
        <w:rPr>
          <w:rFonts w:ascii="Times" w:hAnsi="Times"/>
          <w:noProof/>
        </w:rPr>
      </w:pPr>
      <w:r>
        <w:rPr>
          <w:rFonts w:ascii="Times" w:hAnsi="Times"/>
          <w:noProof/>
        </w:rPr>
        <w:t xml:space="preserve"> </w:t>
      </w:r>
      <w:r w:rsidR="00826FB7">
        <w:rPr>
          <w:rFonts w:ascii="Times" w:hAnsi="Times"/>
          <w:noProof/>
        </w:rPr>
        <w:t xml:space="preserve">I include storage data because </w:t>
      </w:r>
      <w:r w:rsidR="006D78CB">
        <w:rPr>
          <w:rFonts w:ascii="Times" w:hAnsi="Times"/>
          <w:noProof/>
        </w:rPr>
        <w:t xml:space="preserve">storage operators are both </w:t>
      </w:r>
      <w:r w:rsidR="00D91A73">
        <w:rPr>
          <w:rFonts w:ascii="Times" w:hAnsi="Times"/>
          <w:noProof/>
        </w:rPr>
        <w:t>supply-side</w:t>
      </w:r>
      <w:r w:rsidR="006D78CB">
        <w:rPr>
          <w:rFonts w:ascii="Times" w:hAnsi="Times"/>
          <w:noProof/>
        </w:rPr>
        <w:t xml:space="preserve"> (withdrawal phase) and </w:t>
      </w:r>
      <w:r w:rsidR="00D91A73">
        <w:rPr>
          <w:rFonts w:ascii="Times" w:hAnsi="Times"/>
          <w:noProof/>
        </w:rPr>
        <w:t>demand-side</w:t>
      </w:r>
      <w:r w:rsidR="006D78CB">
        <w:rPr>
          <w:rFonts w:ascii="Times" w:hAnsi="Times"/>
          <w:noProof/>
        </w:rPr>
        <w:t xml:space="preserve"> (injection phase). </w:t>
      </w:r>
      <w:r w:rsidR="007863DA">
        <w:rPr>
          <w:rFonts w:ascii="Times" w:hAnsi="Times"/>
          <w:noProof/>
        </w:rPr>
        <w:t xml:space="preserve">I consider the change in utilization rate instead of absolute volumes as a measure of changes in total storage capacity. As a proxy for flexible storage levels </w:t>
      </w:r>
      <w:r w:rsidR="00D91A73">
        <w:rPr>
          <w:rFonts w:ascii="Times" w:hAnsi="Times"/>
          <w:noProof/>
        </w:rPr>
        <w:t>that</w:t>
      </w:r>
      <w:r w:rsidR="007863DA">
        <w:rPr>
          <w:rFonts w:ascii="Times" w:hAnsi="Times"/>
          <w:noProof/>
        </w:rPr>
        <w:t xml:space="preserve"> can respond to storage shocks, I utilize the difference between average seasonal changes in utilization and its corresponding actual change each we</w:t>
      </w:r>
      <w:r w:rsidR="009055B2">
        <w:rPr>
          <w:rFonts w:ascii="Times" w:hAnsi="Times"/>
          <w:noProof/>
        </w:rPr>
        <w:t>e</w:t>
      </w:r>
      <w:r w:rsidR="007863DA">
        <w:rPr>
          <w:rFonts w:ascii="Times" w:hAnsi="Times"/>
          <w:noProof/>
        </w:rPr>
        <w:t xml:space="preserve">k. The deep reasoning for this approach is to capture deviations from the seasonal storage </w:t>
      </w:r>
      <w:r w:rsidR="00A26027">
        <w:rPr>
          <w:rFonts w:ascii="Times" w:hAnsi="Times"/>
          <w:noProof/>
        </w:rPr>
        <w:t>utilization pattern.</w:t>
      </w:r>
      <w:r w:rsidR="008D3C9A">
        <w:rPr>
          <w:rFonts w:ascii="Times" w:hAnsi="Times"/>
          <w:noProof/>
        </w:rPr>
        <w:t xml:space="preserve"> I do not include </w:t>
      </w:r>
      <w:r w:rsidR="00AA77F2">
        <w:rPr>
          <w:rFonts w:ascii="Times" w:hAnsi="Times"/>
          <w:noProof/>
        </w:rPr>
        <w:t xml:space="preserve">natural gas production since the </w:t>
      </w:r>
      <w:r w:rsidR="00D91A73">
        <w:rPr>
          <w:rFonts w:ascii="Times" w:hAnsi="Times"/>
          <w:noProof/>
        </w:rPr>
        <w:t>U.S.</w:t>
      </w:r>
      <w:r w:rsidR="00AA77F2">
        <w:rPr>
          <w:rFonts w:ascii="Times" w:hAnsi="Times"/>
          <w:noProof/>
        </w:rPr>
        <w:t xml:space="preserve"> has been a net </w:t>
      </w:r>
      <w:r w:rsidR="00D91A73">
        <w:rPr>
          <w:rFonts w:ascii="Times" w:hAnsi="Times"/>
          <w:noProof/>
        </w:rPr>
        <w:t>exporter</w:t>
      </w:r>
      <w:r w:rsidR="00AA77F2">
        <w:rPr>
          <w:rFonts w:ascii="Times" w:hAnsi="Times"/>
          <w:noProof/>
        </w:rPr>
        <w:t xml:space="preserve"> of LNG and crude oil since the shale gas boom in 2006. </w:t>
      </w:r>
      <w:r w:rsidR="007F05BB">
        <w:rPr>
          <w:rFonts w:ascii="Times" w:hAnsi="Times"/>
          <w:noProof/>
        </w:rPr>
        <w:t xml:space="preserve">I </w:t>
      </w:r>
      <w:r w:rsidR="00D91A73">
        <w:rPr>
          <w:rFonts w:ascii="Times" w:hAnsi="Times"/>
          <w:noProof/>
        </w:rPr>
        <w:t>fit</w:t>
      </w:r>
      <w:r w:rsidR="007F05BB">
        <w:rPr>
          <w:rFonts w:ascii="Times" w:hAnsi="Times"/>
          <w:noProof/>
        </w:rPr>
        <w:t xml:space="preserve"> </w:t>
      </w:r>
      <w:r w:rsidR="00B67FB5">
        <w:rPr>
          <w:rFonts w:ascii="Times" w:hAnsi="Times"/>
          <w:noProof/>
        </w:rPr>
        <w:t xml:space="preserve">three months treasury </w:t>
      </w:r>
      <w:r w:rsidR="00D91A73">
        <w:rPr>
          <w:rFonts w:ascii="Times" w:hAnsi="Times"/>
          <w:noProof/>
        </w:rPr>
        <w:t>bills</w:t>
      </w:r>
      <w:r w:rsidR="00B67FB5">
        <w:rPr>
          <w:rFonts w:ascii="Times" w:hAnsi="Times"/>
          <w:noProof/>
        </w:rPr>
        <w:t xml:space="preserve"> </w:t>
      </w:r>
      <w:r w:rsidR="00AD6D1B">
        <w:rPr>
          <w:rFonts w:ascii="Times" w:hAnsi="Times"/>
          <w:noProof/>
        </w:rPr>
        <w:t>as a control variable</w:t>
      </w:r>
      <w:r w:rsidR="00096E26">
        <w:rPr>
          <w:rFonts w:ascii="Times" w:hAnsi="Times"/>
          <w:noProof/>
        </w:rPr>
        <w:t xml:space="preserve">. Treasury </w:t>
      </w:r>
      <w:r w:rsidR="00D91A73">
        <w:rPr>
          <w:rFonts w:ascii="Times" w:hAnsi="Times"/>
          <w:noProof/>
        </w:rPr>
        <w:t>bills</w:t>
      </w:r>
      <w:r w:rsidR="00096E26">
        <w:rPr>
          <w:rFonts w:ascii="Times" w:hAnsi="Times"/>
          <w:noProof/>
        </w:rPr>
        <w:t xml:space="preserve"> may affect natural gas </w:t>
      </w:r>
      <w:r w:rsidR="00096E26">
        <w:rPr>
          <w:rFonts w:ascii="Times" w:hAnsi="Times"/>
          <w:noProof/>
        </w:rPr>
        <w:lastRenderedPageBreak/>
        <w:t xml:space="preserve">prices because </w:t>
      </w:r>
      <w:r w:rsidR="00D91A73">
        <w:rPr>
          <w:rFonts w:ascii="Times" w:hAnsi="Times"/>
          <w:noProof/>
        </w:rPr>
        <w:t xml:space="preserve">the </w:t>
      </w:r>
      <w:r w:rsidR="00096E26">
        <w:rPr>
          <w:rFonts w:ascii="Times" w:hAnsi="Times"/>
          <w:noProof/>
        </w:rPr>
        <w:t xml:space="preserve">short-term interest rate is a significant component of </w:t>
      </w:r>
      <w:r w:rsidR="00D91A73">
        <w:rPr>
          <w:rFonts w:ascii="Times" w:hAnsi="Times"/>
          <w:noProof/>
        </w:rPr>
        <w:t xml:space="preserve">the </w:t>
      </w:r>
      <w:r w:rsidR="00096E26">
        <w:rPr>
          <w:rFonts w:ascii="Times" w:hAnsi="Times"/>
          <w:noProof/>
        </w:rPr>
        <w:t xml:space="preserve">cost of carrying inventories </w:t>
      </w:r>
      <w:r w:rsidR="00096E26" w:rsidRPr="00096E26">
        <w:rPr>
          <w:rFonts w:ascii="Times" w:hAnsi="Times"/>
          <w:noProof/>
        </w:rPr>
        <w:t>(Arango, Arias, &amp; Florez, 2012</w:t>
      </w:r>
      <w:r w:rsidR="00096E26">
        <w:rPr>
          <w:rFonts w:ascii="Times" w:hAnsi="Times"/>
          <w:noProof/>
        </w:rPr>
        <w:t xml:space="preserve">, </w:t>
      </w:r>
      <w:r w:rsidR="00096E26" w:rsidRPr="00096E26">
        <w:rPr>
          <w:rFonts w:ascii="Times" w:hAnsi="Times"/>
          <w:noProof/>
        </w:rPr>
        <w:t>Frankel, 2006)</w:t>
      </w:r>
      <w:r w:rsidR="00096E26">
        <w:rPr>
          <w:rFonts w:ascii="Times" w:hAnsi="Times"/>
          <w:noProof/>
        </w:rPr>
        <w:t>.</w:t>
      </w:r>
    </w:p>
    <w:p w14:paraId="7EEABB28" w14:textId="42C638E0" w:rsidR="00BC409F" w:rsidRDefault="00BC409F" w:rsidP="00530F3E">
      <w:pPr>
        <w:rPr>
          <w:rFonts w:ascii="Times" w:hAnsi="Times"/>
          <w:noProof/>
        </w:rPr>
      </w:pPr>
    </w:p>
    <w:p w14:paraId="19F20ABE" w14:textId="0262A0D1" w:rsidR="006B20CD" w:rsidRDefault="000B1E20" w:rsidP="005A49D6">
      <w:pPr>
        <w:pStyle w:val="Heading1"/>
        <w:numPr>
          <w:ilvl w:val="0"/>
          <w:numId w:val="2"/>
        </w:numPr>
        <w:rPr>
          <w:rFonts w:ascii="Times New Roman" w:hAnsi="Times New Roman" w:cs="Times New Roman"/>
        </w:rPr>
      </w:pPr>
      <w:r w:rsidRPr="00C1178E">
        <w:rPr>
          <w:rFonts w:ascii="Times New Roman" w:hAnsi="Times New Roman" w:cs="Times New Roman"/>
        </w:rPr>
        <w:t>Empirical Methodology</w:t>
      </w:r>
    </w:p>
    <w:p w14:paraId="663ABBB1" w14:textId="77777777" w:rsidR="00C1178E" w:rsidRPr="00C1178E" w:rsidRDefault="00C1178E" w:rsidP="00C1178E">
      <w:pPr>
        <w:rPr>
          <w:lang w:bidi="en-US"/>
        </w:rPr>
      </w:pPr>
    </w:p>
    <w:p w14:paraId="7861F725" w14:textId="4D54E8F3" w:rsidR="00C1178E" w:rsidRDefault="00C1178E" w:rsidP="00C1178E">
      <w:pPr>
        <w:spacing w:line="480" w:lineRule="auto"/>
        <w:ind w:firstLine="360"/>
        <w:jc w:val="both"/>
        <w:rPr>
          <w:rFonts w:ascii="Times" w:hAnsi="Times"/>
          <w:noProof/>
        </w:rPr>
      </w:pPr>
      <w:r>
        <w:rPr>
          <w:rFonts w:ascii="Times" w:hAnsi="Times"/>
        </w:rPr>
        <w:t xml:space="preserve">There has been enormous empirical research on </w:t>
      </w:r>
      <w:r w:rsidR="00D91A73">
        <w:rPr>
          <w:rFonts w:ascii="Times" w:hAnsi="Times"/>
        </w:rPr>
        <w:t xml:space="preserve">the </w:t>
      </w:r>
      <w:r>
        <w:rPr>
          <w:rFonts w:ascii="Times" w:hAnsi="Times"/>
        </w:rPr>
        <w:t>natural gas market in recent years. A common thematic approach underlying these findings is the relationship between natural gas and crude oil prices rather than exploring how the natural gas market works. These approaches ignore the possibility of structural dynamics within the market.</w:t>
      </w:r>
      <w:r w:rsidR="005A49D6">
        <w:rPr>
          <w:rFonts w:ascii="Times" w:hAnsi="Times"/>
        </w:rPr>
        <w:t xml:space="preserve"> </w:t>
      </w:r>
      <w:r w:rsidR="004014FB">
        <w:rPr>
          <w:rFonts w:ascii="Times" w:hAnsi="Times"/>
        </w:rPr>
        <w:t xml:space="preserve">For example, Pindyck (2004), Brigida (2014), </w:t>
      </w:r>
      <w:r w:rsidR="004014FB" w:rsidRPr="004014FB">
        <w:rPr>
          <w:rFonts w:ascii="Times" w:hAnsi="Times"/>
          <w:noProof/>
        </w:rPr>
        <w:t>Hartley</w:t>
      </w:r>
      <w:r w:rsidR="004014FB">
        <w:rPr>
          <w:rFonts w:ascii="Times" w:hAnsi="Times"/>
          <w:noProof/>
        </w:rPr>
        <w:t xml:space="preserve"> and</w:t>
      </w:r>
      <w:r w:rsidR="004014FB" w:rsidRPr="004014FB">
        <w:rPr>
          <w:rFonts w:ascii="Times" w:hAnsi="Times"/>
          <w:noProof/>
        </w:rPr>
        <w:t xml:space="preserve"> Medlock </w:t>
      </w:r>
      <w:r w:rsidR="004014FB">
        <w:rPr>
          <w:rFonts w:ascii="Times" w:hAnsi="Times"/>
          <w:noProof/>
        </w:rPr>
        <w:t>(</w:t>
      </w:r>
      <w:r w:rsidR="004014FB" w:rsidRPr="004014FB">
        <w:rPr>
          <w:rFonts w:ascii="Times" w:hAnsi="Times"/>
          <w:noProof/>
        </w:rPr>
        <w:t>2014</w:t>
      </w:r>
      <w:r w:rsidR="004014FB">
        <w:rPr>
          <w:rFonts w:ascii="Times" w:hAnsi="Times"/>
          <w:noProof/>
        </w:rPr>
        <w:t xml:space="preserve">), </w:t>
      </w:r>
      <w:r w:rsidR="004014FB" w:rsidRPr="004014FB">
        <w:rPr>
          <w:rFonts w:ascii="Times" w:hAnsi="Times"/>
          <w:noProof/>
        </w:rPr>
        <w:t xml:space="preserve">Brown </w:t>
      </w:r>
      <w:r w:rsidR="004014FB">
        <w:rPr>
          <w:rFonts w:ascii="Times" w:hAnsi="Times"/>
          <w:noProof/>
        </w:rPr>
        <w:t>and</w:t>
      </w:r>
      <w:r w:rsidR="004014FB" w:rsidRPr="004014FB">
        <w:rPr>
          <w:rFonts w:ascii="Times" w:hAnsi="Times"/>
          <w:noProof/>
        </w:rPr>
        <w:t xml:space="preserve"> Yücel </w:t>
      </w:r>
      <w:r w:rsidR="004014FB">
        <w:rPr>
          <w:rFonts w:ascii="Times" w:hAnsi="Times"/>
          <w:noProof/>
        </w:rPr>
        <w:t>(</w:t>
      </w:r>
      <w:r w:rsidR="004014FB" w:rsidRPr="004014FB">
        <w:rPr>
          <w:rFonts w:ascii="Times" w:hAnsi="Times"/>
          <w:noProof/>
        </w:rPr>
        <w:t>2008)</w:t>
      </w:r>
      <w:r w:rsidR="00D91A73">
        <w:rPr>
          <w:rFonts w:ascii="Times" w:hAnsi="Times"/>
          <w:noProof/>
        </w:rPr>
        <w:t>,</w:t>
      </w:r>
      <w:r w:rsidR="004014FB">
        <w:rPr>
          <w:rFonts w:ascii="Times" w:hAnsi="Times"/>
          <w:noProof/>
        </w:rPr>
        <w:t xml:space="preserve"> </w:t>
      </w:r>
      <w:r w:rsidR="004014FB">
        <w:rPr>
          <w:rFonts w:ascii="Times" w:hAnsi="Times"/>
        </w:rPr>
        <w:t>and Jadidzadeh and Serletis (2017) find movements in oil price</w:t>
      </w:r>
      <w:r w:rsidR="00414699">
        <w:rPr>
          <w:rFonts w:ascii="Times" w:hAnsi="Times"/>
        </w:rPr>
        <w:t>s</w:t>
      </w:r>
      <w:r w:rsidR="004014FB">
        <w:rPr>
          <w:rFonts w:ascii="Times" w:hAnsi="Times"/>
        </w:rPr>
        <w:t xml:space="preserve"> </w:t>
      </w:r>
      <w:r w:rsidR="00414699">
        <w:rPr>
          <w:rFonts w:ascii="Times" w:hAnsi="Times"/>
        </w:rPr>
        <w:t xml:space="preserve">to </w:t>
      </w:r>
      <w:r w:rsidR="004014FB">
        <w:rPr>
          <w:rFonts w:ascii="Times" w:hAnsi="Times"/>
        </w:rPr>
        <w:t xml:space="preserve">influence natural gas prices. Brown and </w:t>
      </w:r>
      <w:proofErr w:type="spellStart"/>
      <w:r w:rsidR="004014FB">
        <w:rPr>
          <w:rFonts w:ascii="Times" w:hAnsi="Times"/>
        </w:rPr>
        <w:t>Yücel</w:t>
      </w:r>
      <w:r w:rsidR="00414699">
        <w:rPr>
          <w:rFonts w:ascii="Times" w:hAnsi="Times"/>
        </w:rPr>
        <w:t>’s</w:t>
      </w:r>
      <w:proofErr w:type="spellEnd"/>
      <w:r w:rsidR="004014FB">
        <w:rPr>
          <w:rFonts w:ascii="Times" w:hAnsi="Times"/>
        </w:rPr>
        <w:t xml:space="preserve"> (2008) analysis involved testing for </w:t>
      </w:r>
      <w:r w:rsidR="00D91A73">
        <w:rPr>
          <w:rFonts w:ascii="Times" w:hAnsi="Times"/>
        </w:rPr>
        <w:t xml:space="preserve">a </w:t>
      </w:r>
      <w:r w:rsidR="004014FB">
        <w:rPr>
          <w:rFonts w:ascii="Times" w:hAnsi="Times"/>
        </w:rPr>
        <w:t>cointegrating relationship using a vector error correction model (VECM). In contrast, other studies conclude that there is a weak link in the so-called oil-gas relationship (see</w:t>
      </w:r>
      <w:r w:rsidR="00D91A73">
        <w:rPr>
          <w:rFonts w:ascii="Times" w:hAnsi="Times"/>
        </w:rPr>
        <w:t>,</w:t>
      </w:r>
      <w:r w:rsidR="004014FB">
        <w:rPr>
          <w:rFonts w:ascii="Times" w:hAnsi="Times"/>
        </w:rPr>
        <w:t xml:space="preserve"> for example </w:t>
      </w:r>
      <w:r w:rsidR="004014FB" w:rsidRPr="004014FB">
        <w:rPr>
          <w:rFonts w:ascii="Times" w:hAnsi="Times"/>
          <w:noProof/>
        </w:rPr>
        <w:t xml:space="preserve">Ramberg </w:t>
      </w:r>
      <w:r w:rsidR="004014FB">
        <w:rPr>
          <w:rFonts w:ascii="Times" w:hAnsi="Times"/>
          <w:noProof/>
        </w:rPr>
        <w:t>and</w:t>
      </w:r>
      <w:r w:rsidR="004014FB" w:rsidRPr="004014FB">
        <w:rPr>
          <w:rFonts w:ascii="Times" w:hAnsi="Times"/>
          <w:noProof/>
        </w:rPr>
        <w:t xml:space="preserve"> Parsons </w:t>
      </w:r>
      <w:r w:rsidR="004014FB">
        <w:rPr>
          <w:rFonts w:ascii="Times" w:hAnsi="Times"/>
          <w:noProof/>
        </w:rPr>
        <w:t>(</w:t>
      </w:r>
      <w:r w:rsidR="004014FB" w:rsidRPr="004014FB">
        <w:rPr>
          <w:rFonts w:ascii="Times" w:hAnsi="Times"/>
          <w:noProof/>
        </w:rPr>
        <w:t>2012)</w:t>
      </w:r>
      <w:r w:rsidR="004014FB">
        <w:rPr>
          <w:rFonts w:ascii="Times" w:hAnsi="Times"/>
          <w:noProof/>
        </w:rPr>
        <w:t xml:space="preserve">, </w:t>
      </w:r>
      <w:r w:rsidR="004014FB" w:rsidRPr="004014FB">
        <w:rPr>
          <w:rFonts w:ascii="Times" w:hAnsi="Times"/>
          <w:noProof/>
        </w:rPr>
        <w:t xml:space="preserve">Zhang </w:t>
      </w:r>
      <w:r w:rsidR="004014FB">
        <w:rPr>
          <w:rFonts w:ascii="Times" w:hAnsi="Times"/>
          <w:noProof/>
        </w:rPr>
        <w:t>and</w:t>
      </w:r>
      <w:r w:rsidR="004014FB" w:rsidRPr="004014FB">
        <w:rPr>
          <w:rFonts w:ascii="Times" w:hAnsi="Times"/>
          <w:noProof/>
        </w:rPr>
        <w:t xml:space="preserve"> Ji</w:t>
      </w:r>
      <w:r w:rsidR="004014FB">
        <w:rPr>
          <w:rFonts w:ascii="Times" w:hAnsi="Times"/>
          <w:noProof/>
        </w:rPr>
        <w:t xml:space="preserve"> (</w:t>
      </w:r>
      <w:r w:rsidR="004014FB" w:rsidRPr="004014FB">
        <w:rPr>
          <w:rFonts w:ascii="Times" w:hAnsi="Times"/>
          <w:noProof/>
        </w:rPr>
        <w:t>2018)</w:t>
      </w:r>
      <w:r w:rsidR="004014FB">
        <w:rPr>
          <w:rFonts w:ascii="Times" w:hAnsi="Times"/>
          <w:noProof/>
        </w:rPr>
        <w:t xml:space="preserve">. </w:t>
      </w:r>
    </w:p>
    <w:p w14:paraId="35F44E05" w14:textId="608C4B1D" w:rsidR="00C1178E" w:rsidRPr="007E5DC9" w:rsidRDefault="00D91A73" w:rsidP="007E5DC9">
      <w:pPr>
        <w:spacing w:line="480" w:lineRule="auto"/>
        <w:ind w:firstLine="360"/>
        <w:jc w:val="both"/>
        <w:rPr>
          <w:rFonts w:ascii="Times" w:hAnsi="Times"/>
        </w:rPr>
      </w:pPr>
      <w:r>
        <w:rPr>
          <w:rFonts w:ascii="Times" w:hAnsi="Times"/>
          <w:noProof/>
        </w:rPr>
        <w:t>Other</w:t>
      </w:r>
      <w:r w:rsidR="004014FB">
        <w:rPr>
          <w:rFonts w:ascii="Times" w:hAnsi="Times"/>
          <w:noProof/>
        </w:rPr>
        <w:t xml:space="preserve"> complex and comprehensive frameworks have been used to explore and disentangle the supply and demand shocks</w:t>
      </w:r>
      <w:r>
        <w:rPr>
          <w:rFonts w:ascii="Times" w:hAnsi="Times"/>
          <w:noProof/>
        </w:rPr>
        <w:t xml:space="preserve"> </w:t>
      </w:r>
      <w:r w:rsidR="004014FB">
        <w:rPr>
          <w:rFonts w:ascii="Times" w:hAnsi="Times"/>
          <w:noProof/>
        </w:rPr>
        <w:t xml:space="preserve">driving natural gas prices using various structural or reduced-form models. </w:t>
      </w:r>
      <w:r w:rsidR="004014FB" w:rsidRPr="004014FB">
        <w:rPr>
          <w:rFonts w:ascii="Times" w:hAnsi="Times"/>
          <w:noProof/>
        </w:rPr>
        <w:t xml:space="preserve">Sebastian </w:t>
      </w:r>
      <w:r w:rsidR="004014FB">
        <w:rPr>
          <w:rFonts w:ascii="Times" w:hAnsi="Times"/>
          <w:noProof/>
        </w:rPr>
        <w:t>and</w:t>
      </w:r>
      <w:r w:rsidR="004014FB" w:rsidRPr="004014FB">
        <w:rPr>
          <w:rFonts w:ascii="Times" w:hAnsi="Times"/>
          <w:noProof/>
        </w:rPr>
        <w:t xml:space="preserve"> Stefan</w:t>
      </w:r>
      <w:r w:rsidR="004014FB">
        <w:rPr>
          <w:rFonts w:ascii="Times" w:hAnsi="Times"/>
          <w:noProof/>
        </w:rPr>
        <w:t xml:space="preserve"> (</w:t>
      </w:r>
      <w:r w:rsidR="004014FB" w:rsidRPr="004014FB">
        <w:rPr>
          <w:rFonts w:ascii="Times" w:hAnsi="Times"/>
          <w:noProof/>
        </w:rPr>
        <w:t>2013)</w:t>
      </w:r>
      <w:r w:rsidR="004014FB">
        <w:rPr>
          <w:rFonts w:ascii="Times" w:hAnsi="Times"/>
          <w:noProof/>
        </w:rPr>
        <w:t xml:space="preserve"> analyze the German gas ma</w:t>
      </w:r>
      <w:r w:rsidR="00414699">
        <w:rPr>
          <w:rFonts w:ascii="Times" w:hAnsi="Times"/>
          <w:noProof/>
        </w:rPr>
        <w:t>r</w:t>
      </w:r>
      <w:r w:rsidR="004014FB">
        <w:rPr>
          <w:rFonts w:ascii="Times" w:hAnsi="Times"/>
          <w:noProof/>
        </w:rPr>
        <w:t>ket using a structural VAR and find that weather, supply, storage, coal</w:t>
      </w:r>
      <w:r>
        <w:rPr>
          <w:rFonts w:ascii="Times" w:hAnsi="Times"/>
          <w:noProof/>
        </w:rPr>
        <w:t>,</w:t>
      </w:r>
      <w:r w:rsidR="004014FB">
        <w:rPr>
          <w:rFonts w:ascii="Times" w:hAnsi="Times"/>
          <w:noProof/>
        </w:rPr>
        <w:t xml:space="preserve"> and oil price shocks have </w:t>
      </w:r>
      <w:r>
        <w:rPr>
          <w:rFonts w:ascii="Times" w:hAnsi="Times"/>
          <w:noProof/>
        </w:rPr>
        <w:t xml:space="preserve">a </w:t>
      </w:r>
      <w:r w:rsidR="004014FB">
        <w:rPr>
          <w:rFonts w:ascii="Times" w:hAnsi="Times"/>
          <w:noProof/>
        </w:rPr>
        <w:t xml:space="preserve">significant effect on natural gas price formation. </w:t>
      </w:r>
      <w:r w:rsidR="001D34C8" w:rsidRPr="001D34C8">
        <w:rPr>
          <w:rFonts w:ascii="Times" w:hAnsi="Times"/>
          <w:noProof/>
        </w:rPr>
        <w:t xml:space="preserve">Hou </w:t>
      </w:r>
      <w:r w:rsidR="001D34C8">
        <w:rPr>
          <w:rFonts w:ascii="Times" w:hAnsi="Times"/>
          <w:noProof/>
        </w:rPr>
        <w:t>and</w:t>
      </w:r>
      <w:r w:rsidR="001D34C8" w:rsidRPr="001D34C8">
        <w:rPr>
          <w:rFonts w:ascii="Times" w:hAnsi="Times"/>
          <w:noProof/>
        </w:rPr>
        <w:t xml:space="preserve"> Nguyen </w:t>
      </w:r>
      <w:r w:rsidR="001D34C8">
        <w:rPr>
          <w:rFonts w:ascii="Times" w:hAnsi="Times"/>
          <w:noProof/>
        </w:rPr>
        <w:t>(</w:t>
      </w:r>
      <w:r w:rsidR="001D34C8" w:rsidRPr="001D34C8">
        <w:rPr>
          <w:rFonts w:ascii="Times" w:hAnsi="Times"/>
          <w:noProof/>
        </w:rPr>
        <w:t>2018)</w:t>
      </w:r>
      <w:r w:rsidR="001D34C8">
        <w:rPr>
          <w:rFonts w:ascii="Times" w:hAnsi="Times"/>
          <w:noProof/>
        </w:rPr>
        <w:t xml:space="preserve"> employ a Markov switching structural VAR model to investigate the regime-dependent responses to its fundamental shocks. They find that the impact of oil on natural gas prices </w:t>
      </w:r>
      <w:r>
        <w:rPr>
          <w:rFonts w:ascii="Times" w:hAnsi="Times"/>
          <w:noProof/>
        </w:rPr>
        <w:t>is</w:t>
      </w:r>
      <w:r w:rsidR="001D34C8">
        <w:rPr>
          <w:rFonts w:ascii="Times" w:hAnsi="Times"/>
          <w:noProof/>
        </w:rPr>
        <w:t xml:space="preserve"> relatively small and </w:t>
      </w:r>
      <w:r>
        <w:rPr>
          <w:rFonts w:ascii="Times" w:hAnsi="Times"/>
          <w:noProof/>
        </w:rPr>
        <w:t>regime-dependent</w:t>
      </w:r>
      <w:r w:rsidR="001D34C8">
        <w:rPr>
          <w:rFonts w:ascii="Times" w:hAnsi="Times"/>
          <w:noProof/>
        </w:rPr>
        <w:t>. My attempt to use a structural VAR to model the fundamental drivers of weather, supply, interest rate, crude oil</w:t>
      </w:r>
      <w:r>
        <w:rPr>
          <w:rFonts w:ascii="Times" w:hAnsi="Times"/>
          <w:noProof/>
        </w:rPr>
        <w:t>,</w:t>
      </w:r>
      <w:r w:rsidR="001D34C8">
        <w:rPr>
          <w:rFonts w:ascii="Times" w:hAnsi="Times"/>
          <w:noProof/>
        </w:rPr>
        <w:t xml:space="preserve"> and coal prices</w:t>
      </w:r>
      <w:r w:rsidR="00414699">
        <w:rPr>
          <w:rFonts w:ascii="Times" w:hAnsi="Times"/>
          <w:noProof/>
        </w:rPr>
        <w:t xml:space="preserve"> </w:t>
      </w:r>
      <w:r w:rsidR="001D34C8">
        <w:rPr>
          <w:rFonts w:ascii="Times" w:hAnsi="Times"/>
          <w:noProof/>
        </w:rPr>
        <w:t xml:space="preserve">is a novel approach in </w:t>
      </w:r>
      <w:r>
        <w:rPr>
          <w:rFonts w:ascii="Times" w:hAnsi="Times"/>
          <w:noProof/>
        </w:rPr>
        <w:t>U.S.</w:t>
      </w:r>
      <w:r w:rsidR="00414699">
        <w:rPr>
          <w:rFonts w:ascii="Times" w:hAnsi="Times"/>
          <w:noProof/>
        </w:rPr>
        <w:t xml:space="preserve"> </w:t>
      </w:r>
      <w:r w:rsidR="001D34C8">
        <w:rPr>
          <w:rFonts w:ascii="Times" w:hAnsi="Times"/>
          <w:noProof/>
        </w:rPr>
        <w:t xml:space="preserve">gas market </w:t>
      </w:r>
      <w:r w:rsidR="00414699">
        <w:rPr>
          <w:rFonts w:ascii="Times" w:hAnsi="Times"/>
          <w:noProof/>
        </w:rPr>
        <w:t>research</w:t>
      </w:r>
      <w:r w:rsidR="001D34C8">
        <w:rPr>
          <w:rFonts w:ascii="Times" w:hAnsi="Times"/>
          <w:noProof/>
        </w:rPr>
        <w:t>.</w:t>
      </w:r>
    </w:p>
    <w:p w14:paraId="5689EC0F" w14:textId="763F7520" w:rsidR="00530F3E" w:rsidRDefault="00530F3E" w:rsidP="00C1178E">
      <w:pPr>
        <w:pStyle w:val="Heading2"/>
        <w:rPr>
          <w:rFonts w:ascii="Times New Roman" w:hAnsi="Times New Roman" w:cs="Times New Roman"/>
          <w:b/>
        </w:rPr>
      </w:pPr>
      <w:r w:rsidRPr="00C1178E">
        <w:rPr>
          <w:rFonts w:ascii="Times New Roman" w:hAnsi="Times New Roman" w:cs="Times New Roman"/>
          <w:b/>
        </w:rPr>
        <w:lastRenderedPageBreak/>
        <w:t xml:space="preserve">Model </w:t>
      </w:r>
      <w:r w:rsidR="009055B2" w:rsidRPr="00C1178E">
        <w:rPr>
          <w:rFonts w:ascii="Times New Roman" w:hAnsi="Times New Roman" w:cs="Times New Roman"/>
          <w:b/>
        </w:rPr>
        <w:t>Definition</w:t>
      </w:r>
    </w:p>
    <w:p w14:paraId="7B7D482E" w14:textId="77777777" w:rsidR="00C1178E" w:rsidRPr="00C1178E" w:rsidRDefault="00C1178E" w:rsidP="00C1178E"/>
    <w:p w14:paraId="1A1D80DD" w14:textId="62C2A6F7" w:rsidR="00B94245" w:rsidRDefault="005E0287" w:rsidP="0052436D">
      <w:pPr>
        <w:spacing w:line="480" w:lineRule="auto"/>
        <w:ind w:firstLine="720"/>
        <w:jc w:val="both"/>
        <w:rPr>
          <w:rFonts w:ascii="Times" w:hAnsi="Times"/>
        </w:rPr>
      </w:pPr>
      <w:r>
        <w:rPr>
          <w:rFonts w:ascii="Times" w:hAnsi="Times"/>
        </w:rPr>
        <w:t xml:space="preserve">I employ a </w:t>
      </w:r>
      <w:r w:rsidR="006D5166">
        <w:rPr>
          <w:rFonts w:ascii="Times" w:hAnsi="Times"/>
        </w:rPr>
        <w:t>structural vector autoregressi</w:t>
      </w:r>
      <w:r w:rsidR="006A2381">
        <w:rPr>
          <w:rFonts w:ascii="Times" w:hAnsi="Times"/>
        </w:rPr>
        <w:t>on</w:t>
      </w:r>
      <w:r w:rsidR="00251CBA">
        <w:rPr>
          <w:rFonts w:ascii="Times" w:hAnsi="Times"/>
        </w:rPr>
        <w:t xml:space="preserve"> </w:t>
      </w:r>
      <w:r w:rsidR="00133625">
        <w:rPr>
          <w:rFonts w:ascii="Times" w:hAnsi="Times"/>
        </w:rPr>
        <w:t>(SVAR)</w:t>
      </w:r>
      <w:r w:rsidR="006A2381">
        <w:rPr>
          <w:rFonts w:ascii="Times" w:hAnsi="Times"/>
        </w:rPr>
        <w:t xml:space="preserve"> for </w:t>
      </w:r>
      <w:r w:rsidR="00D91A73">
        <w:rPr>
          <w:rFonts w:ascii="Times" w:hAnsi="Times"/>
        </w:rPr>
        <w:t>modeling</w:t>
      </w:r>
      <w:r w:rsidR="006A2381">
        <w:rPr>
          <w:rFonts w:ascii="Times" w:hAnsi="Times"/>
        </w:rPr>
        <w:t xml:space="preserve"> the interactions between the main gas market fundamentals in an attempt </w:t>
      </w:r>
      <w:r w:rsidR="00D91A73">
        <w:rPr>
          <w:rFonts w:ascii="Times" w:hAnsi="Times"/>
        </w:rPr>
        <w:t>to examine the transmission channels affecting natural gas prices explicitly</w:t>
      </w:r>
      <w:r w:rsidR="006A2381">
        <w:rPr>
          <w:rFonts w:ascii="Times" w:hAnsi="Times"/>
        </w:rPr>
        <w:t xml:space="preserve">. To constrain the feedback effects of </w:t>
      </w:r>
      <w:r w:rsidR="00CD5E26">
        <w:rPr>
          <w:rFonts w:ascii="Times" w:hAnsi="Times"/>
        </w:rPr>
        <w:t>exogeneity of s</w:t>
      </w:r>
      <w:r w:rsidR="006A2381">
        <w:rPr>
          <w:rFonts w:ascii="Times" w:hAnsi="Times"/>
        </w:rPr>
        <w:t xml:space="preserve">ome of the variables used in this analysis, I restrict their coefficients to zero. </w:t>
      </w:r>
      <w:r w:rsidR="00133625">
        <w:rPr>
          <w:rFonts w:ascii="Times" w:hAnsi="Times"/>
        </w:rPr>
        <w:t xml:space="preserve">The VAR model in its reduced form can be represented as </w:t>
      </w:r>
    </w:p>
    <w:p w14:paraId="5E8FB10D" w14:textId="2739F7FA" w:rsidR="00251CBA" w:rsidRDefault="00000000" w:rsidP="00873FCD">
      <w:pPr>
        <w:spacing w:line="480" w:lineRule="auto"/>
        <w:jc w:val="center"/>
        <w:rPr>
          <w:rFonts w:ascii="Times" w:eastAsiaTheme="minorEastAsia" w:hAnsi="Times"/>
        </w:rPr>
      </w:pPr>
      <m:oMath>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t</m:t>
            </m:r>
          </m:sub>
        </m:sSub>
        <m:r>
          <w:rPr>
            <w:rFonts w:ascii="Cambria Math" w:hAnsi="Cambria Math"/>
          </w:rPr>
          <m:t xml:space="preserve">= υ + </m:t>
        </m:r>
        <m:sSub>
          <m:sSubPr>
            <m:ctrlPr>
              <w:rPr>
                <w:rFonts w:ascii="Cambria Math" w:eastAsiaTheme="minorHAnsi" w:hAnsi="Cambria Math" w:cstheme="minorBidi"/>
                <w:i/>
              </w:rPr>
            </m:ctrlPr>
          </m:sSubPr>
          <m:e>
            <m:r>
              <w:rPr>
                <w:rFonts w:ascii="Cambria Math" w:hAnsi="Cambria Math"/>
              </w:rPr>
              <m:t>A</m:t>
            </m:r>
          </m:e>
          <m:sub>
            <m:r>
              <w:rPr>
                <w:rFonts w:ascii="Cambria Math" w:hAnsi="Cambria Math"/>
              </w:rPr>
              <m:t xml:space="preserve">1  </m:t>
            </m:r>
          </m:sub>
        </m:sSub>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 xml:space="preserve">t-1  </m:t>
            </m:r>
          </m:sub>
        </m:sSub>
        <m:r>
          <w:rPr>
            <w:rFonts w:ascii="Cambria Math" w:hAnsi="Cambria Math"/>
          </w:rPr>
          <m:t xml:space="preserve">+… + </m:t>
        </m:r>
        <m:sSub>
          <m:sSubPr>
            <m:ctrlPr>
              <w:rPr>
                <w:rFonts w:ascii="Cambria Math" w:eastAsiaTheme="minorHAnsi" w:hAnsi="Cambria Math" w:cstheme="minorBidi"/>
                <w:i/>
              </w:rPr>
            </m:ctrlPr>
          </m:sSubPr>
          <m:e>
            <m:r>
              <w:rPr>
                <w:rFonts w:ascii="Cambria Math" w:hAnsi="Cambria Math"/>
              </w:rPr>
              <m:t>A</m:t>
            </m:r>
          </m:e>
          <m:sub>
            <m:r>
              <w:rPr>
                <w:rFonts w:ascii="Cambria Math" w:hAnsi="Cambria Math"/>
              </w:rPr>
              <m:t xml:space="preserve">p </m:t>
            </m:r>
          </m:sub>
        </m:sSub>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 xml:space="preserve">t-p  </m:t>
            </m:r>
          </m:sub>
        </m:sSub>
        <m:r>
          <w:rPr>
            <w:rFonts w:ascii="Cambria Math" w:hAnsi="Cambria Math"/>
          </w:rPr>
          <m:t xml:space="preserve">+ </m:t>
        </m:r>
        <m:sSub>
          <m:sSubPr>
            <m:ctrlPr>
              <w:rPr>
                <w:rFonts w:ascii="Cambria Math" w:eastAsiaTheme="minorHAnsi" w:hAnsi="Cambria Math" w:cstheme="minorBidi"/>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eastAsiaTheme="minorHAnsi" w:hAnsi="Cambria Math" w:cstheme="minorBidi"/>
                <w:i/>
              </w:rPr>
            </m:ctrlPr>
          </m:sSubPr>
          <m:e>
            <m:r>
              <w:rPr>
                <w:rFonts w:ascii="Cambria Math" w:hAnsi="Cambria Math"/>
              </w:rPr>
              <m:t xml:space="preserve">  ε</m:t>
            </m:r>
          </m:e>
          <m:sub>
            <m:r>
              <w:rPr>
                <w:rFonts w:ascii="Cambria Math" w:hAnsi="Cambria Math"/>
              </w:rPr>
              <m:t xml:space="preserve">t </m:t>
            </m:r>
          </m:sub>
        </m:sSub>
        <m:r>
          <w:rPr>
            <w:rFonts w:ascii="Cambria Math" w:hAnsi="Cambria Math"/>
          </w:rPr>
          <m:t xml:space="preserve">~ </m:t>
        </m:r>
        <m:r>
          <m:rPr>
            <m:sty m:val="p"/>
          </m:rPr>
          <w:rPr>
            <w:rFonts w:ascii="Cambria Math" w:hAnsi="Cambria Math"/>
          </w:rPr>
          <m:t>WN (0, Σ)</m:t>
        </m:r>
        <m:r>
          <w:rPr>
            <w:rFonts w:ascii="Cambria Math" w:hAnsi="Cambria Math"/>
          </w:rPr>
          <m:t xml:space="preserve"> </m:t>
        </m:r>
      </m:oMath>
      <w:r w:rsidR="00873FCD">
        <w:rPr>
          <w:rFonts w:ascii="Times" w:eastAsiaTheme="minorEastAsia" w:hAnsi="Times"/>
        </w:rPr>
        <w:t xml:space="preserve"> </w:t>
      </w:r>
      <w:r w:rsidR="00BA21D7">
        <w:rPr>
          <w:rFonts w:ascii="Times" w:eastAsiaTheme="minorEastAsia" w:hAnsi="Times"/>
        </w:rPr>
        <w:tab/>
      </w:r>
      <w:r w:rsidR="00BA21D7">
        <w:rPr>
          <w:rFonts w:ascii="Times" w:eastAsiaTheme="minorEastAsia" w:hAnsi="Times"/>
        </w:rPr>
        <w:tab/>
      </w:r>
      <w:r w:rsidR="00BA21D7">
        <w:rPr>
          <w:rFonts w:ascii="Times" w:eastAsiaTheme="minorEastAsia" w:hAnsi="Times"/>
        </w:rPr>
        <w:tab/>
      </w:r>
      <w:r w:rsidR="00BA21D7">
        <w:rPr>
          <w:rFonts w:ascii="Times" w:eastAsiaTheme="minorEastAsia" w:hAnsi="Times"/>
        </w:rPr>
        <w:tab/>
      </w:r>
      <w:r w:rsidR="00873FCD">
        <w:rPr>
          <w:rFonts w:ascii="Times" w:eastAsiaTheme="minorEastAsia" w:hAnsi="Times"/>
        </w:rPr>
        <w:t>(3)</w:t>
      </w:r>
    </w:p>
    <w:p w14:paraId="1CF955A8" w14:textId="48F933CD" w:rsidR="003F5B2A" w:rsidRDefault="00D91A73" w:rsidP="00873FCD">
      <w:pPr>
        <w:spacing w:line="480" w:lineRule="auto"/>
        <w:jc w:val="both"/>
        <w:rPr>
          <w:rFonts w:ascii="Times" w:eastAsiaTheme="minorEastAsia" w:hAnsi="Times"/>
        </w:rPr>
      </w:pPr>
      <w:r>
        <w:rPr>
          <w:rFonts w:ascii="Times" w:eastAsiaTheme="minorEastAsia" w:hAnsi="Times"/>
        </w:rPr>
        <w:t>w</w:t>
      </w:r>
      <w:r w:rsidR="00873FCD">
        <w:rPr>
          <w:rFonts w:ascii="Times" w:eastAsiaTheme="minorEastAsia" w:hAnsi="Times"/>
        </w:rPr>
        <w:t>here</w:t>
      </w:r>
      <w:r>
        <w:rPr>
          <w:rFonts w:ascii="Times" w:eastAsiaTheme="minorEastAsia" w:hAnsi="Times"/>
        </w:rPr>
        <w:t xml:space="preserve"> </w:t>
      </w:r>
      <m:oMath>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t</m:t>
                    </m:r>
                  </m:sub>
                </m:sSub>
                <m:r>
                  <w:rPr>
                    <w:rFonts w:ascii="Cambria Math" w:hAnsi="Cambria Math"/>
                  </w:rPr>
                  <m:t xml:space="preserve">, …….., </m:t>
                </m:r>
                <m:sSub>
                  <m:sSubPr>
                    <m:ctrlPr>
                      <w:rPr>
                        <w:rFonts w:ascii="Cambria Math" w:eastAsiaTheme="minorHAnsi" w:hAnsi="Cambria Math" w:cstheme="minorBidi"/>
                        <w:i/>
                      </w:rPr>
                    </m:ctrlPr>
                  </m:sSubPr>
                  <m:e>
                    <m:r>
                      <w:rPr>
                        <w:rFonts w:ascii="Cambria Math" w:hAnsi="Cambria Math"/>
                      </w:rPr>
                      <m:t>y</m:t>
                    </m:r>
                  </m:e>
                  <m:sub>
                    <m:r>
                      <w:rPr>
                        <w:rFonts w:ascii="Cambria Math" w:hAnsi="Cambria Math"/>
                      </w:rPr>
                      <m:t xml:space="preserve">mt </m:t>
                    </m:r>
                  </m:sub>
                </m:sSub>
              </m:e>
            </m:d>
          </m:e>
          <m:sup>
            <m:r>
              <w:rPr>
                <w:rFonts w:ascii="Cambria Math" w:hAnsi="Cambria Math"/>
              </w:rPr>
              <m:t>'</m:t>
            </m:r>
          </m:sup>
        </m:sSup>
      </m:oMath>
      <w:r w:rsidR="00873FCD">
        <w:rPr>
          <w:rFonts w:ascii="Times" w:eastAsiaTheme="minorEastAsia" w:hAnsi="Times"/>
        </w:rPr>
        <w:t xml:space="preserve"> is a vector of </w:t>
      </w:r>
      <w:r w:rsidR="00CD5E26">
        <w:rPr>
          <w:rFonts w:ascii="Times" w:eastAsiaTheme="minorEastAsia" w:hAnsi="Times"/>
          <w:i/>
        </w:rPr>
        <w:t>m</w:t>
      </w:r>
      <w:r w:rsidR="00873FCD">
        <w:rPr>
          <w:rFonts w:ascii="Times" w:eastAsiaTheme="minorEastAsia" w:hAnsi="Times"/>
          <w:i/>
        </w:rPr>
        <w:t xml:space="preserve"> </w:t>
      </w:r>
      <w:r w:rsidR="00873FCD">
        <w:rPr>
          <w:rFonts w:ascii="Times" w:eastAsiaTheme="minorEastAsia" w:hAnsi="Times"/>
        </w:rPr>
        <w:t>endogenous variables</w:t>
      </w:r>
      <w:r w:rsidR="00CD5E26">
        <w:rPr>
          <w:rFonts w:ascii="Times" w:eastAsiaTheme="minorEastAsia" w:hAnsi="Times"/>
        </w:rPr>
        <w:t xml:space="preserve">, </w:t>
      </w:r>
      <w:r w:rsidR="00CD5E26">
        <w:rPr>
          <w:rFonts w:ascii="Times" w:eastAsiaTheme="minorEastAsia" w:hAnsi="Times"/>
          <w:i/>
        </w:rPr>
        <w:t>p</w:t>
      </w:r>
      <w:r w:rsidR="00CD5E26">
        <w:rPr>
          <w:rFonts w:ascii="Times" w:eastAsiaTheme="minorEastAsia" w:hAnsi="Times"/>
        </w:rPr>
        <w:t xml:space="preserve"> is the number of lags of each variable</w:t>
      </w:r>
      <w:r w:rsidR="00BA21D7">
        <w:rPr>
          <w:rFonts w:ascii="Times" w:eastAsiaTheme="minorEastAsia" w:hAnsi="Times"/>
        </w:rPr>
        <w:t xml:space="preserve">, and </w:t>
      </w:r>
      <m:oMath>
        <m:r>
          <w:rPr>
            <w:rFonts w:ascii="Cambria Math" w:hAnsi="Cambria Math"/>
          </w:rPr>
          <m:t>υ</m:t>
        </m:r>
      </m:oMath>
      <w:r w:rsidR="00BA21D7">
        <w:rPr>
          <w:rFonts w:ascii="Times" w:eastAsiaTheme="minorEastAsia" w:hAnsi="Times"/>
        </w:rPr>
        <w:t xml:space="preserve"> is an </w:t>
      </w:r>
      <w:r w:rsidR="00BA21D7">
        <w:rPr>
          <w:rFonts w:ascii="Times" w:eastAsiaTheme="minorEastAsia" w:hAnsi="Times"/>
          <w:i/>
        </w:rPr>
        <w:t>m ×</w:t>
      </w:r>
      <w:r w:rsidR="00BA21D7" w:rsidRPr="00BA21D7">
        <w:rPr>
          <w:rFonts w:ascii="Times" w:eastAsiaTheme="minorEastAsia" w:hAnsi="Times"/>
        </w:rPr>
        <w:t>1</w:t>
      </w:r>
      <w:r w:rsidR="003F5B2A">
        <w:rPr>
          <w:rFonts w:ascii="Times" w:eastAsiaTheme="minorEastAsia" w:hAnsi="Times"/>
        </w:rPr>
        <w:t xml:space="preserve"> </w:t>
      </w:r>
      <w:r w:rsidR="00BA21D7">
        <w:rPr>
          <w:rFonts w:ascii="Times" w:eastAsiaTheme="minorEastAsia" w:hAnsi="Times"/>
        </w:rPr>
        <w:t>vector of</w:t>
      </w:r>
      <w:r w:rsidR="00BA21D7">
        <w:rPr>
          <w:rFonts w:ascii="Times" w:eastAsiaTheme="minorEastAsia" w:hAnsi="Times"/>
          <w:i/>
        </w:rPr>
        <w:t xml:space="preserve"> </w:t>
      </w:r>
      <w:r w:rsidR="00BA21D7">
        <w:rPr>
          <w:rFonts w:ascii="Times" w:eastAsiaTheme="minorEastAsia" w:hAnsi="Times"/>
        </w:rPr>
        <w:t xml:space="preserve">intercepts. </w:t>
      </w:r>
    </w:p>
    <w:p w14:paraId="6C5BFFC5" w14:textId="5C60B9E7" w:rsidR="00873FCD" w:rsidRDefault="00BA21D7" w:rsidP="00873FCD">
      <w:pPr>
        <w:spacing w:line="480" w:lineRule="auto"/>
        <w:jc w:val="both"/>
        <w:rPr>
          <w:rFonts w:ascii="Times" w:eastAsiaTheme="minorEastAsia" w:hAnsi="Times"/>
        </w:rPr>
      </w:pPr>
      <w:r>
        <w:rPr>
          <w:rFonts w:ascii="Times" w:eastAsiaTheme="minorEastAsia" w:hAnsi="Times"/>
        </w:rPr>
        <w:t xml:space="preserve">The error terms are grouped </w:t>
      </w:r>
      <w:r w:rsidR="001C5684">
        <w:rPr>
          <w:rFonts w:ascii="Times" w:eastAsiaTheme="minorEastAsia" w:hAnsi="Times"/>
        </w:rPr>
        <w:t xml:space="preserve">into </w:t>
      </w:r>
      <m:oMath>
        <m:sSub>
          <m:sSubPr>
            <m:ctrlPr>
              <w:rPr>
                <w:rFonts w:ascii="Cambria Math" w:eastAsiaTheme="minorHAnsi" w:hAnsi="Cambria Math" w:cstheme="minorBidi"/>
                <w:i/>
              </w:rPr>
            </m:ctrlPr>
          </m:sSubPr>
          <m:e>
            <m:r>
              <w:rPr>
                <w:rFonts w:ascii="Cambria Math" w:hAnsi="Cambria Math"/>
              </w:rPr>
              <m:t>ε</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Theme="minorHAnsi" w:hAnsi="Cambria Math" w:cstheme="minorBidi"/>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eastAsiaTheme="minorHAnsi" w:hAnsi="Cambria Math" w:cstheme="minorBidi"/>
                        <w:i/>
                      </w:rPr>
                    </m:ctrlPr>
                  </m:sSubPr>
                  <m:e>
                    <m:r>
                      <w:rPr>
                        <w:rFonts w:ascii="Cambria Math" w:hAnsi="Cambria Math"/>
                      </w:rPr>
                      <m:t>ε</m:t>
                    </m:r>
                  </m:e>
                  <m:sub>
                    <m:r>
                      <w:rPr>
                        <w:rFonts w:ascii="Cambria Math" w:hAnsi="Cambria Math"/>
                      </w:rPr>
                      <m:t>mt</m:t>
                    </m:r>
                  </m:sub>
                </m:sSub>
                <m:r>
                  <w:rPr>
                    <w:rFonts w:ascii="Cambria Math" w:hAnsi="Cambria Math"/>
                  </w:rPr>
                  <m:t xml:space="preserve"> </m:t>
                </m:r>
              </m:e>
            </m:d>
          </m:e>
          <m:sup>
            <m:r>
              <w:rPr>
                <w:rFonts w:ascii="Cambria Math" w:hAnsi="Cambria Math"/>
              </w:rPr>
              <m:t>'</m:t>
            </m:r>
          </m:sup>
        </m:sSup>
        <m:r>
          <w:rPr>
            <w:rFonts w:ascii="Cambria Math" w:hAnsi="Cambria Math"/>
          </w:rPr>
          <m:t xml:space="preserve">, </m:t>
        </m:r>
      </m:oMath>
      <w:r w:rsidR="003F5B2A">
        <w:rPr>
          <w:rFonts w:ascii="Times" w:eastAsiaTheme="minorEastAsia" w:hAnsi="Times"/>
        </w:rPr>
        <w:t xml:space="preserve">such that the error term in each equation has a zero mean and </w:t>
      </w:r>
      <w:r w:rsidR="00D91A73">
        <w:rPr>
          <w:rFonts w:ascii="Times" w:eastAsiaTheme="minorEastAsia" w:hAnsi="Times"/>
        </w:rPr>
        <w:t>is</w:t>
      </w:r>
      <w:r w:rsidR="003F5B2A">
        <w:rPr>
          <w:rFonts w:ascii="Times" w:eastAsiaTheme="minorEastAsia" w:hAnsi="Times"/>
        </w:rPr>
        <w:t xml:space="preserve"> uncorrelated over time and homoskedastic. However, the error terms can be contemporaneously correlated with errors in other equations. Therefore, </w:t>
      </w:r>
      <m:oMath>
        <m:sSub>
          <m:sSubPr>
            <m:ctrlPr>
              <w:rPr>
                <w:rFonts w:ascii="Cambria Math" w:eastAsiaTheme="minorHAnsi" w:hAnsi="Cambria Math" w:cstheme="minorBidi"/>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rsidR="00D91A73">
        <w:rPr>
          <w:rFonts w:ascii="Times" w:eastAsiaTheme="minorEastAsia" w:hAnsi="Times"/>
        </w:rPr>
        <w:t>is</w:t>
      </w:r>
      <w:r w:rsidR="003F5B2A">
        <w:rPr>
          <w:rFonts w:ascii="Times" w:eastAsiaTheme="minorEastAsia" w:hAnsi="Times"/>
        </w:rPr>
        <w:t xml:space="preserve"> a multivariate white </w:t>
      </w:r>
      <w:r w:rsidR="003F5B2A" w:rsidRPr="009055B2">
        <w:rPr>
          <w:rFonts w:ascii="Times" w:eastAsiaTheme="minorEastAsia" w:hAnsi="Times"/>
        </w:rPr>
        <w:t xml:space="preserve">noise process, </w:t>
      </w:r>
      <m:oMath>
        <m:sSub>
          <m:sSubPr>
            <m:ctrlPr>
              <w:rPr>
                <w:rFonts w:ascii="Cambria Math" w:eastAsiaTheme="minorHAnsi" w:hAnsi="Cambria Math" w:cstheme="minorBidi"/>
                <w:i/>
              </w:rPr>
            </m:ctrlPr>
          </m:sSubPr>
          <m:e>
            <m:r>
              <w:rPr>
                <w:rFonts w:ascii="Cambria Math" w:hAnsi="Cambria Math"/>
              </w:rPr>
              <m:t xml:space="preserve"> ε</m:t>
            </m:r>
          </m:e>
          <m:sub>
            <m:r>
              <w:rPr>
                <w:rFonts w:ascii="Cambria Math" w:hAnsi="Cambria Math"/>
              </w:rPr>
              <m:t xml:space="preserve">t </m:t>
            </m:r>
          </m:sub>
        </m:sSub>
        <m:r>
          <w:rPr>
            <w:rFonts w:ascii="Cambria Math" w:hAnsi="Cambria Math"/>
          </w:rPr>
          <m:t xml:space="preserve">~ </m:t>
        </m:r>
        <m:r>
          <m:rPr>
            <m:sty m:val="p"/>
          </m:rPr>
          <w:rPr>
            <w:rFonts w:ascii="Cambria Math" w:hAnsi="Cambria Math"/>
          </w:rPr>
          <m:t>W.N. (0, Σ)</m:t>
        </m:r>
      </m:oMath>
      <w:r w:rsidR="00C52167" w:rsidRPr="009055B2">
        <w:rPr>
          <w:rFonts w:ascii="Times" w:eastAsiaTheme="minorEastAsia" w:hAnsi="Times"/>
        </w:rPr>
        <w:t xml:space="preserve">, where </w:t>
      </w:r>
      <m:oMath>
        <m:r>
          <m:rPr>
            <m:sty m:val="p"/>
          </m:rPr>
          <w:rPr>
            <w:rFonts w:ascii="Cambria Math" w:hAnsi="Cambria Math"/>
          </w:rPr>
          <m:t xml:space="preserve">Σ </m:t>
        </m:r>
      </m:oMath>
      <w:r w:rsidR="00C52167" w:rsidRPr="009055B2">
        <w:rPr>
          <w:rFonts w:ascii="Times" w:eastAsiaTheme="minorEastAsia" w:hAnsi="Times"/>
        </w:rPr>
        <w:t xml:space="preserve">is an </w:t>
      </w:r>
      <w:r w:rsidR="00C52167" w:rsidRPr="009055B2">
        <w:rPr>
          <w:rFonts w:ascii="Times" w:eastAsiaTheme="minorEastAsia" w:hAnsi="Times"/>
          <w:i/>
        </w:rPr>
        <w:t>m</w:t>
      </w:r>
      <w:r w:rsidR="00C52167" w:rsidRPr="009055B2">
        <w:rPr>
          <w:rFonts w:ascii="Times" w:eastAsiaTheme="minorEastAsia" w:hAnsi="Times"/>
        </w:rPr>
        <w:t xml:space="preserve"> ×</w:t>
      </w:r>
      <w:r w:rsidR="00C52167" w:rsidRPr="009055B2">
        <w:rPr>
          <w:rFonts w:ascii="Times" w:eastAsiaTheme="minorEastAsia" w:hAnsi="Times"/>
          <w:i/>
        </w:rPr>
        <w:t xml:space="preserve"> m </w:t>
      </w:r>
      <w:r w:rsidR="00D91A73">
        <w:rPr>
          <w:rFonts w:ascii="Times" w:eastAsiaTheme="minorEastAsia" w:hAnsi="Times"/>
        </w:rPr>
        <w:t>variance-covariance</w:t>
      </w:r>
      <w:r w:rsidR="00C52167" w:rsidRPr="009055B2">
        <w:rPr>
          <w:rFonts w:ascii="Times" w:eastAsiaTheme="minorEastAsia" w:hAnsi="Times"/>
        </w:rPr>
        <w:t xml:space="preserve"> matrix. I specify the VAR model with a length of </w:t>
      </w:r>
      <w:r w:rsidR="002F4497" w:rsidRPr="009055B2">
        <w:rPr>
          <w:rFonts w:ascii="Times" w:eastAsiaTheme="minorEastAsia" w:hAnsi="Times"/>
        </w:rPr>
        <w:t>six</w:t>
      </w:r>
      <w:r w:rsidR="00C52167" w:rsidRPr="009055B2">
        <w:rPr>
          <w:rFonts w:ascii="Times" w:eastAsiaTheme="minorEastAsia" w:hAnsi="Times"/>
        </w:rPr>
        <w:t xml:space="preserve"> lag</w:t>
      </w:r>
      <w:r w:rsidR="002F4497" w:rsidRPr="009055B2">
        <w:rPr>
          <w:rFonts w:ascii="Times" w:eastAsiaTheme="minorEastAsia" w:hAnsi="Times"/>
        </w:rPr>
        <w:t>s</w:t>
      </w:r>
      <w:r w:rsidR="00C52167" w:rsidRPr="009055B2">
        <w:rPr>
          <w:rFonts w:ascii="Times" w:eastAsiaTheme="minorEastAsia" w:hAnsi="Times"/>
        </w:rPr>
        <w:t xml:space="preserve"> as identified by the </w:t>
      </w:r>
      <w:r w:rsidR="002F4497" w:rsidRPr="009055B2">
        <w:rPr>
          <w:rFonts w:ascii="Times" w:eastAsiaTheme="minorEastAsia" w:hAnsi="Times"/>
        </w:rPr>
        <w:t>Akaike</w:t>
      </w:r>
      <w:r w:rsidR="00C52167" w:rsidRPr="009055B2">
        <w:rPr>
          <w:rFonts w:ascii="Times" w:eastAsiaTheme="minorEastAsia" w:hAnsi="Times"/>
        </w:rPr>
        <w:t xml:space="preserve"> Information Criterion. </w:t>
      </w:r>
      <w:r w:rsidR="003C0D64" w:rsidRPr="009055B2">
        <w:rPr>
          <w:rFonts w:ascii="Times" w:eastAsiaTheme="minorEastAsia" w:hAnsi="Times"/>
        </w:rPr>
        <w:t xml:space="preserve">The </w:t>
      </w:r>
      <w:r w:rsidR="00437772" w:rsidRPr="009055B2">
        <w:rPr>
          <w:rFonts w:ascii="Times" w:eastAsiaTheme="minorEastAsia" w:hAnsi="Times"/>
        </w:rPr>
        <w:t>SIC indicates a lag length of one</w:t>
      </w:r>
      <w:r w:rsidR="00D91A73">
        <w:rPr>
          <w:rFonts w:ascii="Times" w:eastAsiaTheme="minorEastAsia" w:hAnsi="Times"/>
        </w:rPr>
        <w:t>; however</w:t>
      </w:r>
      <w:r w:rsidR="00437772" w:rsidRPr="009055B2">
        <w:rPr>
          <w:rFonts w:ascii="Times" w:eastAsiaTheme="minorEastAsia" w:hAnsi="Times"/>
        </w:rPr>
        <w:t xml:space="preserve">, there </w:t>
      </w:r>
      <w:r w:rsidR="009055B2" w:rsidRPr="009055B2">
        <w:rPr>
          <w:rFonts w:ascii="Times" w:eastAsiaTheme="minorEastAsia" w:hAnsi="Times"/>
        </w:rPr>
        <w:t>is</w:t>
      </w:r>
      <w:r w:rsidR="00437772" w:rsidRPr="009055B2">
        <w:rPr>
          <w:rFonts w:ascii="Times" w:eastAsiaTheme="minorEastAsia" w:hAnsi="Times"/>
        </w:rPr>
        <w:t xml:space="preserve"> a strong autocorrelation in the error terms with one lag</w:t>
      </w:r>
      <w:r w:rsidR="009055B2" w:rsidRPr="009055B2">
        <w:rPr>
          <w:rFonts w:ascii="Times" w:eastAsiaTheme="minorEastAsia" w:hAnsi="Times"/>
        </w:rPr>
        <w:t>.</w:t>
      </w:r>
    </w:p>
    <w:p w14:paraId="7B1DCD20" w14:textId="05C8B4B4" w:rsidR="00096E26" w:rsidRDefault="00CB29C3" w:rsidP="00B82414">
      <w:pPr>
        <w:spacing w:line="480" w:lineRule="auto"/>
        <w:ind w:firstLine="720"/>
        <w:jc w:val="both"/>
        <w:rPr>
          <w:rFonts w:ascii="Times" w:eastAsiaTheme="minorEastAsia" w:hAnsi="Times"/>
        </w:rPr>
      </w:pPr>
      <w:r>
        <w:rPr>
          <w:rFonts w:ascii="Times" w:eastAsiaTheme="minorEastAsia" w:hAnsi="Times"/>
        </w:rPr>
        <w:t>The instantaneous causality among the variables represented by</w:t>
      </w:r>
      <m:oMath>
        <m:sSub>
          <m:sSubPr>
            <m:ctrlPr>
              <w:rPr>
                <w:rFonts w:ascii="Cambria Math" w:eastAsiaTheme="minorHAnsi" w:hAnsi="Cambria Math" w:cstheme="minorBidi"/>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rPr>
          <w:rFonts w:ascii="Times" w:eastAsiaTheme="minorEastAsia" w:hAnsi="Times"/>
        </w:rPr>
        <w:t>in the reduced-form model does not allow for an economic interpretation of the error term. To remedy the situation, a structural model has to be identified as</w:t>
      </w:r>
    </w:p>
    <w:p w14:paraId="01C4680B" w14:textId="18A2016B" w:rsidR="00EF7AC9" w:rsidRDefault="00000000" w:rsidP="00873FCD">
      <w:pPr>
        <w:spacing w:line="480" w:lineRule="auto"/>
        <w:jc w:val="both"/>
        <w:rPr>
          <w:rFonts w:ascii="Times" w:eastAsiaTheme="minorEastAsia" w:hAnsi="Times"/>
        </w:rPr>
      </w:pPr>
      <m:oMath>
        <m:sSub>
          <m:sSubPr>
            <m:ctrlPr>
              <w:rPr>
                <w:rFonts w:ascii="Cambria Math" w:eastAsiaTheme="minorEastAsia" w:hAnsi="Cambria Math" w:cstheme="minorBidi"/>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cstheme="minorBidi"/>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-A</m:t>
            </m:r>
          </m:e>
        </m:d>
        <m:sSub>
          <m:sSubPr>
            <m:ctrlPr>
              <w:rPr>
                <w:rFonts w:ascii="Cambria Math" w:eastAsiaTheme="minorEastAsia" w:hAnsi="Cambria Math" w:cstheme="minorBidi"/>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 xml:space="preserve">+ </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sSub>
          <m:sSubPr>
            <m:ctrlPr>
              <w:rPr>
                <w:rFonts w:ascii="Cambria Math" w:eastAsiaTheme="minorEastAsia" w:hAnsi="Cambria Math" w:cstheme="minorBidi"/>
                <w:i/>
              </w:rPr>
            </m:ctrlPr>
          </m:sSubPr>
          <m:e>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 xml:space="preserve">+…+ </m:t>
        </m:r>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sSub>
          <m:sSubPr>
            <m:ctrlPr>
              <w:rPr>
                <w:rFonts w:ascii="Cambria Math" w:eastAsiaTheme="minorEastAsia" w:hAnsi="Cambria Math" w:cstheme="minorBidi"/>
                <w:i/>
              </w:rPr>
            </m:ctrlPr>
          </m:sSubPr>
          <m:e>
            <m:r>
              <w:rPr>
                <w:rFonts w:ascii="Cambria Math" w:eastAsiaTheme="minorEastAsia" w:hAnsi="Cambria Math"/>
              </w:rPr>
              <m:t>y</m:t>
            </m:r>
          </m:e>
          <m:sub>
            <m:r>
              <w:rPr>
                <w:rFonts w:ascii="Cambria Math" w:eastAsiaTheme="minorEastAsia" w:hAnsi="Cambria Math"/>
              </w:rPr>
              <m:t>t-p</m:t>
            </m:r>
          </m:sub>
        </m:sSub>
        <m:r>
          <w:rPr>
            <w:rFonts w:ascii="Cambria Math" w:eastAsiaTheme="minorEastAsia" w:hAnsi="Cambria Math"/>
          </w:rPr>
          <m:t xml:space="preserve">+ </m:t>
        </m:r>
        <m:sSub>
          <m:sSubPr>
            <m:ctrlPr>
              <w:rPr>
                <w:rFonts w:ascii="Cambria Math" w:eastAsiaTheme="minorEastAsia" w:hAnsi="Cambria Math" w:cstheme="minorBidi"/>
                <w:i/>
              </w:rPr>
            </m:ctrlPr>
          </m:sSubPr>
          <m:e>
            <m:r>
              <w:rPr>
                <w:rFonts w:ascii="Cambria Math" w:eastAsiaTheme="minorEastAsia" w:hAnsi="Cambria Math"/>
              </w:rPr>
              <m:t>ϵ</m:t>
            </m:r>
          </m:e>
          <m:sub>
            <m:r>
              <w:rPr>
                <w:rFonts w:ascii="Cambria Math" w:eastAsiaTheme="minorEastAsia" w:hAnsi="Cambria Math"/>
              </w:rPr>
              <m:t>t</m:t>
            </m:r>
          </m:sub>
        </m:sSub>
      </m:oMath>
      <w:r w:rsidR="001D27EC">
        <w:rPr>
          <w:rFonts w:ascii="Times" w:eastAsiaTheme="minorEastAsia" w:hAnsi="Times"/>
        </w:rPr>
        <w:t xml:space="preserve">                                                                    (4)</w:t>
      </w:r>
    </w:p>
    <w:p w14:paraId="002C6BE6" w14:textId="4ED78868" w:rsidR="000B1E20" w:rsidRDefault="001D27EC" w:rsidP="00873FCD">
      <w:pPr>
        <w:spacing w:line="480" w:lineRule="auto"/>
        <w:jc w:val="both"/>
        <w:rPr>
          <w:rFonts w:ascii="Times" w:eastAsiaTheme="minorEastAsia" w:hAnsi="Times"/>
        </w:rPr>
      </w:pPr>
      <w:r>
        <w:rPr>
          <w:rFonts w:ascii="Times" w:eastAsiaTheme="minorEastAsia" w:hAnsi="Times"/>
        </w:rPr>
        <w:t xml:space="preserve">where </w:t>
      </w:r>
      <m:oMath>
        <m:sSub>
          <m:sSubPr>
            <m:ctrlPr>
              <w:rPr>
                <w:rFonts w:ascii="Cambria Math" w:eastAsiaTheme="minorEastAsia" w:hAnsi="Cambria Math" w:cstheme="minorBidi"/>
                <w:i/>
              </w:rPr>
            </m:ctrlPr>
          </m:sSubPr>
          <m:e>
            <m:r>
              <w:rPr>
                <w:rFonts w:ascii="Cambria Math" w:eastAsiaTheme="minorEastAsia" w:hAnsi="Cambria Math"/>
              </w:rPr>
              <m:t>I</m:t>
            </m:r>
          </m:e>
          <m:sub>
            <m:r>
              <w:rPr>
                <w:rFonts w:ascii="Cambria Math" w:eastAsiaTheme="minorEastAsia" w:hAnsi="Cambria Math"/>
              </w:rPr>
              <m:t>m</m:t>
            </m:r>
          </m:sub>
        </m:sSub>
      </m:oMath>
      <w:r>
        <w:rPr>
          <w:rFonts w:ascii="Times" w:eastAsiaTheme="minorEastAsia" w:hAnsi="Times"/>
        </w:rPr>
        <w:t xml:space="preserve"> represents the identity matrix of order </w:t>
      </w:r>
      <w:r>
        <w:rPr>
          <w:rFonts w:ascii="Times" w:eastAsiaTheme="minorEastAsia" w:hAnsi="Times"/>
          <w:i/>
        </w:rPr>
        <w:t>m</w:t>
      </w:r>
      <w:r>
        <w:rPr>
          <w:rFonts w:ascii="Times" w:eastAsiaTheme="minorEastAsia" w:hAnsi="Times"/>
        </w:rPr>
        <w:t xml:space="preserve">, A is an </w:t>
      </w:r>
      <w:r w:rsidR="004014FB">
        <w:rPr>
          <w:rFonts w:ascii="Times" w:eastAsiaTheme="minorEastAsia" w:hAnsi="Times"/>
          <w:i/>
        </w:rPr>
        <w:t>m</w:t>
      </w:r>
      <w:r>
        <w:rPr>
          <w:rFonts w:ascii="Times" w:eastAsiaTheme="minorEastAsia" w:hAnsi="Times"/>
        </w:rPr>
        <w:t xml:space="preserve"> </w:t>
      </w:r>
      <w:r w:rsidRPr="00C52167">
        <w:rPr>
          <w:rFonts w:ascii="Times" w:eastAsiaTheme="minorEastAsia" w:hAnsi="Times"/>
        </w:rPr>
        <w:t>×</w:t>
      </w:r>
      <w:r>
        <w:rPr>
          <w:rFonts w:ascii="Times" w:eastAsiaTheme="minorEastAsia" w:hAnsi="Times"/>
          <w:i/>
        </w:rPr>
        <w:t xml:space="preserve"> </w:t>
      </w:r>
      <w:r w:rsidR="004014FB">
        <w:rPr>
          <w:rFonts w:ascii="Times" w:eastAsiaTheme="minorEastAsia" w:hAnsi="Times"/>
          <w:i/>
        </w:rPr>
        <w:t>m</w:t>
      </w:r>
      <w:r>
        <w:rPr>
          <w:rFonts w:ascii="Times" w:eastAsiaTheme="minorEastAsia" w:hAnsi="Times"/>
          <w:i/>
        </w:rPr>
        <w:t xml:space="preserve"> </w:t>
      </w:r>
      <w:r w:rsidR="008B5076">
        <w:rPr>
          <w:rFonts w:ascii="Times" w:eastAsiaTheme="minorEastAsia" w:hAnsi="Times"/>
        </w:rPr>
        <w:t>matrix of instantaneous interaction among the variables and</w:t>
      </w:r>
      <w:r w:rsidR="00D91A73">
        <w:rPr>
          <w:rFonts w:ascii="Times" w:eastAsiaTheme="minorEastAsia" w:hAnsi="Times"/>
        </w:rPr>
        <w:t xml:space="preserve"> </w:t>
      </w:r>
      <m:oMath>
        <m:sSup>
          <m:sSupPr>
            <m:ctrlPr>
              <w:rPr>
                <w:rFonts w:ascii="Cambria Math" w:eastAsiaTheme="minorEastAsia" w:hAnsi="Cambria Math" w:cstheme="minorBidi"/>
                <w:i/>
              </w:rPr>
            </m:ctrlPr>
          </m:sSupPr>
          <m:e>
            <m:r>
              <w:rPr>
                <w:rFonts w:ascii="Cambria Math" w:eastAsiaTheme="minorEastAsia" w:hAnsi="Cambria Math"/>
              </w:rPr>
              <m:t>A</m:t>
            </m:r>
          </m:e>
          <m:sup>
            <m:r>
              <w:rPr>
                <w:rFonts w:ascii="Cambria Math" w:eastAsiaTheme="minorEastAsia" w:hAnsi="Cambria Math"/>
              </w:rPr>
              <m:t>*</m:t>
            </m:r>
          </m:sup>
        </m:sSup>
      </m:oMath>
      <w:r w:rsidR="008B5076">
        <w:rPr>
          <w:rFonts w:ascii="Times" w:eastAsiaTheme="minorEastAsia" w:hAnsi="Times"/>
        </w:rPr>
        <w:t xml:space="preserve"> is equal to </w:t>
      </w:r>
      <m:oMath>
        <m:sSub>
          <m:sSubPr>
            <m:ctrlPr>
              <w:rPr>
                <w:rFonts w:ascii="Cambria Math" w:eastAsiaTheme="minorEastAsia" w:hAnsi="Cambria Math" w:cstheme="minorBidi"/>
                <w:i/>
              </w:rPr>
            </m:ctrlPr>
          </m:sSubPr>
          <m:e>
            <m:r>
              <w:rPr>
                <w:rFonts w:ascii="Cambria Math" w:eastAsiaTheme="minorEastAsia" w:hAnsi="Cambria Math"/>
              </w:rPr>
              <m:t>AA</m:t>
            </m:r>
          </m:e>
          <m:sub>
            <m:r>
              <w:rPr>
                <w:rFonts w:ascii="Cambria Math" w:eastAsiaTheme="minorEastAsia" w:hAnsi="Cambria Math"/>
              </w:rPr>
              <m:t xml:space="preserve">i </m:t>
            </m:r>
          </m:sub>
        </m:sSub>
      </m:oMath>
      <w:r w:rsidR="008B5076">
        <w:rPr>
          <w:rFonts w:ascii="Times" w:eastAsiaTheme="minorEastAsia" w:hAnsi="Times"/>
        </w:rPr>
        <w:t xml:space="preserve"> for </w:t>
      </w:r>
      <w:proofErr w:type="spellStart"/>
      <w:r w:rsidR="008B5076">
        <w:rPr>
          <w:rFonts w:ascii="Times" w:eastAsiaTheme="minorEastAsia" w:hAnsi="Times"/>
          <w:i/>
        </w:rPr>
        <w:t>i</w:t>
      </w:r>
      <w:proofErr w:type="spellEnd"/>
      <w:r w:rsidR="008B5076">
        <w:rPr>
          <w:rFonts w:ascii="Times" w:eastAsiaTheme="minorEastAsia" w:hAnsi="Times"/>
          <w:i/>
        </w:rPr>
        <w:t xml:space="preserve"> = </w:t>
      </w:r>
      <w:r w:rsidR="008B5076">
        <w:rPr>
          <w:rFonts w:ascii="Times" w:eastAsiaTheme="minorEastAsia" w:hAnsi="Times"/>
        </w:rPr>
        <w:t xml:space="preserve">0, …, </w:t>
      </w:r>
      <w:r w:rsidR="004E75AA">
        <w:rPr>
          <w:rFonts w:ascii="Times" w:eastAsiaTheme="minorEastAsia" w:hAnsi="Times"/>
          <w:i/>
        </w:rPr>
        <w:t xml:space="preserve">p. </w:t>
      </w:r>
      <w:r w:rsidR="004E75AA">
        <w:rPr>
          <w:rFonts w:ascii="Times" w:eastAsiaTheme="minorEastAsia" w:hAnsi="Times"/>
        </w:rPr>
        <w:t xml:space="preserve">Additionally, </w:t>
      </w:r>
      <m:oMath>
        <m:sSub>
          <m:sSubPr>
            <m:ctrlPr>
              <w:rPr>
                <w:rFonts w:ascii="Cambria Math" w:eastAsiaTheme="minorEastAsia" w:hAnsi="Cambria Math" w:cstheme="minorBidi"/>
                <w:i/>
              </w:rPr>
            </m:ctrlPr>
          </m:sSubPr>
          <m:e>
            <m:r>
              <w:rPr>
                <w:rFonts w:ascii="Cambria Math" w:eastAsiaTheme="minorEastAsia" w:hAnsi="Cambria Math"/>
              </w:rPr>
              <m:t>ϵ</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cstheme="minorBidi"/>
                        <w:i/>
                      </w:rPr>
                    </m:ctrlPr>
                  </m:sSubPr>
                  <m:e>
                    <m:r>
                      <w:rPr>
                        <w:rFonts w:ascii="Cambria Math" w:eastAsiaTheme="minorEastAsia" w:hAnsi="Cambria Math"/>
                      </w:rPr>
                      <m:t>ϵ</m:t>
                    </m:r>
                  </m:e>
                  <m:sub>
                    <m:r>
                      <w:rPr>
                        <w:rFonts w:ascii="Cambria Math" w:eastAsiaTheme="minorEastAsia" w:hAnsi="Cambria Math"/>
                      </w:rPr>
                      <m:t xml:space="preserve">1t </m:t>
                    </m:r>
                  </m:sub>
                </m:sSub>
                <m:r>
                  <w:rPr>
                    <w:rFonts w:ascii="Cambria Math" w:eastAsiaTheme="minorEastAsia" w:hAnsi="Cambria Math"/>
                  </w:rPr>
                  <m:t>,…,</m:t>
                </m:r>
                <m:sSub>
                  <m:sSubPr>
                    <m:ctrlPr>
                      <w:rPr>
                        <w:rFonts w:ascii="Cambria Math" w:eastAsiaTheme="minorEastAsia" w:hAnsi="Cambria Math" w:cstheme="minorBidi"/>
                        <w:i/>
                      </w:rPr>
                    </m:ctrlPr>
                  </m:sSubPr>
                  <m:e>
                    <m:r>
                      <w:rPr>
                        <w:rFonts w:ascii="Cambria Math" w:eastAsiaTheme="minorEastAsia" w:hAnsi="Cambria Math"/>
                      </w:rPr>
                      <m:t>ϵ</m:t>
                    </m:r>
                  </m:e>
                  <m:sub>
                    <m:r>
                      <w:rPr>
                        <w:rFonts w:ascii="Cambria Math" w:eastAsiaTheme="minorEastAsia" w:hAnsi="Cambria Math"/>
                      </w:rPr>
                      <m:t xml:space="preserve">mt </m:t>
                    </m:r>
                  </m:sub>
                </m:sSub>
              </m:e>
            </m:d>
          </m:e>
          <m:sup>
            <m:r>
              <w:rPr>
                <w:rFonts w:ascii="Cambria Math" w:eastAsiaTheme="minorEastAsia" w:hAnsi="Cambria Math"/>
              </w:rPr>
              <m:t>'</m:t>
            </m:r>
          </m:sup>
        </m:sSup>
      </m:oMath>
      <w:r w:rsidR="004E75AA" w:rsidRPr="009055B2">
        <w:rPr>
          <w:rFonts w:ascii="Times" w:eastAsiaTheme="minorEastAsia" w:hAnsi="Times"/>
        </w:rPr>
        <w:t xml:space="preserve"> is a row vector of </w:t>
      </w:r>
      <w:r w:rsidR="004E75AA" w:rsidRPr="009055B2">
        <w:rPr>
          <w:rFonts w:ascii="Times" w:eastAsiaTheme="minorEastAsia" w:hAnsi="Times"/>
          <w:i/>
        </w:rPr>
        <w:t xml:space="preserve">m </w:t>
      </w:r>
      <w:r w:rsidR="004E75AA" w:rsidRPr="009055B2">
        <w:rPr>
          <w:rFonts w:ascii="Times" w:eastAsiaTheme="minorEastAsia" w:hAnsi="Times"/>
        </w:rPr>
        <w:t xml:space="preserve">dimension which represents the structural errors with </w:t>
      </w:r>
      <w:r w:rsidR="00D91A73">
        <w:rPr>
          <w:rFonts w:ascii="Times" w:eastAsiaTheme="minorEastAsia" w:hAnsi="Times"/>
        </w:rPr>
        <w:t xml:space="preserve">a </w:t>
      </w:r>
      <w:r w:rsidR="00D91A73">
        <w:rPr>
          <w:rFonts w:ascii="Times" w:eastAsiaTheme="minorEastAsia" w:hAnsi="Times"/>
        </w:rPr>
        <w:lastRenderedPageBreak/>
        <w:t>variance-covariance</w:t>
      </w:r>
      <w:r w:rsidR="004E75AA" w:rsidRPr="009055B2">
        <w:rPr>
          <w:rFonts w:ascii="Times" w:eastAsiaTheme="minorEastAsia" w:hAnsi="Times"/>
        </w:rPr>
        <w:t xml:space="preserve"> matrix</w:t>
      </w:r>
      <w:r w:rsidR="00D91A73">
        <w:rPr>
          <w:rFonts w:ascii="Times" w:eastAsiaTheme="minorEastAsia" w:hAnsi="Times"/>
        </w:rPr>
        <w:t xml:space="preserve"> </w:t>
      </w:r>
      <m:oMath>
        <m:sSub>
          <m:sSubPr>
            <m:ctrlPr>
              <w:rPr>
                <w:rFonts w:ascii="Cambria Math" w:eastAsiaTheme="minorEastAsia" w:hAnsi="Cambria Math" w:cstheme="minorBidi"/>
                <w:i/>
              </w:rPr>
            </m:ctrlPr>
          </m:sSubPr>
          <m:e>
            <m:r>
              <m:rPr>
                <m:sty m:val="p"/>
              </m:rPr>
              <w:rPr>
                <w:rFonts w:ascii="Cambria Math" w:eastAsiaTheme="minorEastAsia" w:hAnsi="Cambria Math"/>
              </w:rPr>
              <m:t>Σ</m:t>
            </m:r>
          </m:e>
          <m:sub>
            <m:r>
              <w:rPr>
                <w:rFonts w:ascii="Cambria Math" w:eastAsiaTheme="minorEastAsia" w:hAnsi="Cambria Math"/>
              </w:rPr>
              <m:t>ϵ</m:t>
            </m:r>
          </m:sub>
        </m:sSub>
      </m:oMath>
      <w:r w:rsidR="004E75AA" w:rsidRPr="009055B2">
        <w:rPr>
          <w:rFonts w:ascii="Times" w:eastAsiaTheme="minorEastAsia" w:hAnsi="Times"/>
        </w:rPr>
        <w:t xml:space="preserve">. As the instantaneous </w:t>
      </w:r>
      <w:r w:rsidR="00276E0C" w:rsidRPr="009055B2">
        <w:rPr>
          <w:rFonts w:ascii="Times" w:eastAsiaTheme="minorEastAsia" w:hAnsi="Times"/>
        </w:rPr>
        <w:t>causality</w:t>
      </w:r>
      <w:r w:rsidR="004E75AA" w:rsidRPr="009055B2">
        <w:rPr>
          <w:rFonts w:ascii="Times" w:eastAsiaTheme="minorEastAsia" w:hAnsi="Times"/>
        </w:rPr>
        <w:t xml:space="preserve"> is captured by A, </w:t>
      </w:r>
      <m:oMath>
        <m:sSub>
          <m:sSubPr>
            <m:ctrlPr>
              <w:rPr>
                <w:rFonts w:ascii="Cambria Math" w:eastAsiaTheme="minorEastAsia" w:hAnsi="Cambria Math" w:cstheme="minorBidi"/>
                <w:i/>
              </w:rPr>
            </m:ctrlPr>
          </m:sSubPr>
          <m:e>
            <m:r>
              <m:rPr>
                <m:sty m:val="p"/>
              </m:rPr>
              <w:rPr>
                <w:rFonts w:ascii="Cambria Math" w:eastAsiaTheme="minorEastAsia" w:hAnsi="Cambria Math"/>
              </w:rPr>
              <m:t>Σ</m:t>
            </m:r>
          </m:e>
          <m:sub>
            <m:r>
              <w:rPr>
                <w:rFonts w:ascii="Cambria Math" w:eastAsiaTheme="minorEastAsia" w:hAnsi="Cambria Math"/>
              </w:rPr>
              <m:t>ϵ</m:t>
            </m:r>
          </m:sub>
        </m:sSub>
        <m:r>
          <w:rPr>
            <w:rFonts w:ascii="Cambria Math" w:eastAsiaTheme="minorEastAsia" w:hAnsi="Cambria Math"/>
          </w:rPr>
          <m:t xml:space="preserve"> </m:t>
        </m:r>
      </m:oMath>
      <w:r w:rsidR="004E75AA" w:rsidRPr="009055B2">
        <w:rPr>
          <w:rFonts w:ascii="Times" w:eastAsiaTheme="minorEastAsia" w:hAnsi="Times"/>
        </w:rPr>
        <w:t xml:space="preserve">is diagonal. </w:t>
      </w:r>
      <w:r w:rsidR="00276E0C" w:rsidRPr="009055B2">
        <w:rPr>
          <w:rFonts w:ascii="Times" w:eastAsiaTheme="minorEastAsia" w:hAnsi="Times"/>
        </w:rPr>
        <w:t>I</w:t>
      </w:r>
      <w:r w:rsidR="004E75AA" w:rsidRPr="009055B2">
        <w:rPr>
          <w:rFonts w:ascii="Times" w:eastAsiaTheme="minorEastAsia" w:hAnsi="Times"/>
        </w:rPr>
        <w:t>n</w:t>
      </w:r>
      <w:r w:rsidR="00276E0C" w:rsidRPr="009055B2">
        <w:rPr>
          <w:rFonts w:ascii="Times" w:eastAsiaTheme="minorEastAsia" w:hAnsi="Times"/>
        </w:rPr>
        <w:t xml:space="preserve"> this way, the errors of the structural representation </w:t>
      </w:r>
      <w:r w:rsidR="00B3104D" w:rsidRPr="009055B2">
        <w:rPr>
          <w:rFonts w:ascii="Times" w:eastAsiaTheme="minorEastAsia" w:hAnsi="Times"/>
        </w:rPr>
        <w:t>are</w:t>
      </w:r>
      <w:r w:rsidR="00276E0C" w:rsidRPr="009055B2">
        <w:rPr>
          <w:rFonts w:ascii="Times" w:eastAsiaTheme="minorEastAsia" w:hAnsi="Times"/>
        </w:rPr>
        <w:t xml:space="preserve"> assigned to a single variable and can therefore be interpreted in terms of economic theory.</w:t>
      </w:r>
      <w:r w:rsidR="003D73C4">
        <w:rPr>
          <w:rFonts w:ascii="Times" w:eastAsiaTheme="minorEastAsia" w:hAnsi="Times"/>
        </w:rPr>
        <w:t xml:space="preserve"> </w:t>
      </w:r>
    </w:p>
    <w:p w14:paraId="16A7E4FF" w14:textId="63A059A5" w:rsidR="009055B2" w:rsidRDefault="009055B2" w:rsidP="00C1178E">
      <w:pPr>
        <w:rPr>
          <w:rFonts w:ascii="Times" w:eastAsiaTheme="minorEastAsia" w:hAnsi="Times"/>
        </w:rPr>
      </w:pPr>
    </w:p>
    <w:p w14:paraId="3EE222BC" w14:textId="1046FAC9" w:rsidR="000B1E20" w:rsidRDefault="009055B2" w:rsidP="00C1178E">
      <w:pPr>
        <w:pStyle w:val="Heading2"/>
        <w:rPr>
          <w:rFonts w:ascii="Times New Roman" w:hAnsi="Times New Roman" w:cs="Times New Roman"/>
          <w:b/>
        </w:rPr>
      </w:pPr>
      <w:r w:rsidRPr="00C1178E">
        <w:rPr>
          <w:rFonts w:ascii="Times New Roman" w:hAnsi="Times New Roman" w:cs="Times New Roman"/>
          <w:b/>
        </w:rPr>
        <w:t xml:space="preserve">Model </w:t>
      </w:r>
      <w:r w:rsidR="000B1E20" w:rsidRPr="00C1178E">
        <w:rPr>
          <w:rFonts w:ascii="Times New Roman" w:hAnsi="Times New Roman" w:cs="Times New Roman"/>
          <w:b/>
        </w:rPr>
        <w:t>Identification</w:t>
      </w:r>
    </w:p>
    <w:p w14:paraId="0E0F9E0E" w14:textId="77777777" w:rsidR="00C1178E" w:rsidRPr="00C1178E" w:rsidRDefault="00C1178E" w:rsidP="00C1178E">
      <w:pPr>
        <w:rPr>
          <w:rFonts w:eastAsiaTheme="minorHAnsi"/>
        </w:rPr>
      </w:pPr>
    </w:p>
    <w:p w14:paraId="3FFD67E4" w14:textId="18E9AC50" w:rsidR="000B1E20" w:rsidRDefault="003D73C4" w:rsidP="007E5DC9">
      <w:pPr>
        <w:spacing w:line="480" w:lineRule="auto"/>
        <w:ind w:firstLine="720"/>
        <w:jc w:val="both"/>
        <w:rPr>
          <w:rFonts w:ascii="Times" w:eastAsiaTheme="minorEastAsia" w:hAnsi="Times"/>
        </w:rPr>
      </w:pPr>
      <w:r>
        <w:rPr>
          <w:rFonts w:ascii="Times" w:eastAsiaTheme="minorEastAsia" w:hAnsi="Times"/>
        </w:rPr>
        <w:t xml:space="preserve">To </w:t>
      </w:r>
      <w:r w:rsidR="000B1E20">
        <w:rPr>
          <w:rFonts w:ascii="Times" w:eastAsiaTheme="minorEastAsia" w:hAnsi="Times"/>
        </w:rPr>
        <w:t>identify the model</w:t>
      </w:r>
      <w:r w:rsidR="00B3104D">
        <w:rPr>
          <w:rFonts w:ascii="Times" w:eastAsiaTheme="minorEastAsia" w:hAnsi="Times"/>
        </w:rPr>
        <w:t xml:space="preserve">, </w:t>
      </w:r>
      <w:r w:rsidR="000B1E20">
        <w:rPr>
          <w:rFonts w:ascii="Times" w:eastAsiaTheme="minorEastAsia" w:hAnsi="Times"/>
        </w:rPr>
        <w:t>I</w:t>
      </w:r>
      <w:r w:rsidR="00B3104D">
        <w:rPr>
          <w:rFonts w:ascii="Times" w:eastAsiaTheme="minorEastAsia" w:hAnsi="Times"/>
        </w:rPr>
        <w:t xml:space="preserve"> place restrictions on the instantaneous coefficient matrix A. The structural representation can be achieved by imposing </w:t>
      </w:r>
      <w:r w:rsidR="00C605F2" w:rsidRPr="00C605F2">
        <w:rPr>
          <w:rFonts w:ascii="Times" w:eastAsiaTheme="minorEastAsia" w:hAnsi="Times"/>
          <w:i/>
        </w:rPr>
        <w:t>m</w:t>
      </w:r>
      <w:r w:rsidR="00B3104D">
        <w:rPr>
          <w:rFonts w:ascii="Times" w:eastAsiaTheme="minorEastAsia" w:hAnsi="Times"/>
        </w:rPr>
        <w:t>(</w:t>
      </w:r>
      <w:r w:rsidR="00C605F2" w:rsidRPr="00C605F2">
        <w:rPr>
          <w:rFonts w:ascii="Times" w:eastAsiaTheme="minorEastAsia" w:hAnsi="Times"/>
          <w:i/>
        </w:rPr>
        <w:t>m</w:t>
      </w:r>
      <w:r w:rsidR="00B3104D">
        <w:rPr>
          <w:rFonts w:ascii="Times" w:eastAsiaTheme="minorEastAsia" w:hAnsi="Times"/>
        </w:rPr>
        <w:t xml:space="preserve">+1)/2 restrictions. The instantaneous restrictions </w:t>
      </w:r>
      <w:r w:rsidR="00AE2E5C">
        <w:rPr>
          <w:rFonts w:ascii="Times" w:eastAsiaTheme="minorEastAsia" w:hAnsi="Times"/>
        </w:rPr>
        <w:t xml:space="preserve">imposed for identification of the structural VAR is summarized in </w:t>
      </w:r>
      <w:r w:rsidR="00C605F2">
        <w:rPr>
          <w:rFonts w:ascii="Times" w:eastAsiaTheme="minorEastAsia" w:hAnsi="Times"/>
        </w:rPr>
        <w:t xml:space="preserve">Table </w:t>
      </w:r>
      <w:r w:rsidR="00BA264B">
        <w:rPr>
          <w:rFonts w:ascii="Times" w:eastAsiaTheme="minorEastAsia" w:hAnsi="Times"/>
        </w:rPr>
        <w:t>2</w:t>
      </w:r>
      <w:r w:rsidR="00C605F2">
        <w:rPr>
          <w:rFonts w:ascii="Times" w:eastAsiaTheme="minorEastAsia" w:hAnsi="Times"/>
        </w:rPr>
        <w:t>.</w:t>
      </w:r>
    </w:p>
    <w:p w14:paraId="5784383A" w14:textId="77777777" w:rsidR="007E5DC9" w:rsidRPr="004E75AA" w:rsidRDefault="007E5DC9" w:rsidP="007E5DC9">
      <w:pPr>
        <w:spacing w:line="480" w:lineRule="auto"/>
        <w:ind w:firstLine="720"/>
        <w:jc w:val="both"/>
        <w:rPr>
          <w:rFonts w:ascii="Times" w:eastAsiaTheme="minorEastAsia" w:hAnsi="Times"/>
        </w:rPr>
      </w:pPr>
    </w:p>
    <w:p w14:paraId="1CFD138D" w14:textId="3C7E8010" w:rsidR="008D3C9A" w:rsidRDefault="00C605F2" w:rsidP="00AC0DFB">
      <w:pPr>
        <w:jc w:val="both"/>
        <w:rPr>
          <w:rFonts w:ascii="Times" w:hAnsi="Times"/>
        </w:rPr>
      </w:pPr>
      <w:r>
        <w:rPr>
          <w:rFonts w:ascii="Times" w:hAnsi="Times"/>
        </w:rPr>
        <w:t xml:space="preserve">Table </w:t>
      </w:r>
      <w:r w:rsidR="00BA264B">
        <w:rPr>
          <w:rFonts w:ascii="Times" w:hAnsi="Times"/>
        </w:rPr>
        <w:t>2</w:t>
      </w:r>
      <w:r>
        <w:rPr>
          <w:rFonts w:ascii="Times" w:hAnsi="Times"/>
        </w:rPr>
        <w:t>: Identification of the contemporaneous mat</w:t>
      </w:r>
      <w:r w:rsidR="00066CF4">
        <w:rPr>
          <w:rFonts w:ascii="Times" w:hAnsi="Times"/>
        </w:rPr>
        <w:t>ri</w:t>
      </w:r>
      <w:r>
        <w:rPr>
          <w:rFonts w:ascii="Times" w:hAnsi="Times"/>
        </w:rPr>
        <w:t>x</w:t>
      </w:r>
    </w:p>
    <w:p w14:paraId="5C03BB28" w14:textId="77777777" w:rsidR="00AC0DFB" w:rsidRDefault="00AC0DFB" w:rsidP="00AC0DFB">
      <w:pPr>
        <w:jc w:val="both"/>
        <w:rPr>
          <w:rFonts w:ascii="Times" w:hAnsi="Times"/>
        </w:rPr>
      </w:pPr>
    </w:p>
    <w:tbl>
      <w:tblPr>
        <w:tblStyle w:val="PlainTable2"/>
        <w:tblW w:w="8542" w:type="dxa"/>
        <w:tblLook w:val="04A0" w:firstRow="1" w:lastRow="0" w:firstColumn="1" w:lastColumn="0" w:noHBand="0" w:noVBand="1"/>
      </w:tblPr>
      <w:tblGrid>
        <w:gridCol w:w="2310"/>
        <w:gridCol w:w="1498"/>
        <w:gridCol w:w="936"/>
        <w:gridCol w:w="222"/>
        <w:gridCol w:w="1069"/>
        <w:gridCol w:w="1069"/>
        <w:gridCol w:w="1069"/>
        <w:gridCol w:w="1069"/>
      </w:tblGrid>
      <w:tr w:rsidR="00AB347B" w:rsidRPr="00660024" w14:paraId="15B09DB3" w14:textId="77777777" w:rsidTr="007E5DC9">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26C8FB63" w14:textId="77777777" w:rsidR="00AB347B" w:rsidRPr="00660024" w:rsidRDefault="00AB347B" w:rsidP="00AB347B">
            <w:pPr>
              <w:rPr>
                <w:b w:val="0"/>
              </w:rPr>
            </w:pPr>
          </w:p>
        </w:tc>
        <w:tc>
          <w:tcPr>
            <w:tcW w:w="1498" w:type="dxa"/>
            <w:noWrap/>
            <w:hideMark/>
          </w:tcPr>
          <w:p w14:paraId="0760D8AA" w14:textId="77777777"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660024">
              <w:rPr>
                <w:b w:val="0"/>
                <w:color w:val="000000"/>
              </w:rPr>
              <w:t>Temperature</w:t>
            </w:r>
          </w:p>
        </w:tc>
        <w:tc>
          <w:tcPr>
            <w:tcW w:w="236" w:type="dxa"/>
          </w:tcPr>
          <w:p w14:paraId="71F10B0D" w14:textId="50E27035"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660024">
              <w:rPr>
                <w:b w:val="0"/>
                <w:color w:val="000000"/>
              </w:rPr>
              <w:t>Interest Rate</w:t>
            </w:r>
          </w:p>
        </w:tc>
        <w:tc>
          <w:tcPr>
            <w:tcW w:w="222" w:type="dxa"/>
          </w:tcPr>
          <w:p w14:paraId="4C9D881E" w14:textId="3D07DE89"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p>
        </w:tc>
        <w:tc>
          <w:tcPr>
            <w:tcW w:w="1069" w:type="dxa"/>
            <w:noWrap/>
            <w:hideMark/>
          </w:tcPr>
          <w:p w14:paraId="2964A11D" w14:textId="480A4247"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660024">
              <w:rPr>
                <w:b w:val="0"/>
                <w:color w:val="000000"/>
              </w:rPr>
              <w:t xml:space="preserve">Storage </w:t>
            </w:r>
          </w:p>
        </w:tc>
        <w:tc>
          <w:tcPr>
            <w:tcW w:w="1069" w:type="dxa"/>
            <w:noWrap/>
            <w:hideMark/>
          </w:tcPr>
          <w:p w14:paraId="667AD4FF" w14:textId="77777777"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660024">
              <w:rPr>
                <w:b w:val="0"/>
                <w:color w:val="000000"/>
              </w:rPr>
              <w:t>Crude Price</w:t>
            </w:r>
          </w:p>
        </w:tc>
        <w:tc>
          <w:tcPr>
            <w:tcW w:w="1069" w:type="dxa"/>
            <w:noWrap/>
            <w:hideMark/>
          </w:tcPr>
          <w:p w14:paraId="114A1A9F" w14:textId="77777777"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660024">
              <w:rPr>
                <w:b w:val="0"/>
                <w:color w:val="000000"/>
              </w:rPr>
              <w:t>Coal Price</w:t>
            </w:r>
          </w:p>
        </w:tc>
        <w:tc>
          <w:tcPr>
            <w:tcW w:w="1069" w:type="dxa"/>
            <w:noWrap/>
            <w:hideMark/>
          </w:tcPr>
          <w:p w14:paraId="62EC1363" w14:textId="77777777" w:rsidR="00AB347B" w:rsidRPr="00660024" w:rsidRDefault="00AB347B" w:rsidP="00AB347B">
            <w:pPr>
              <w:jc w:val="center"/>
              <w:cnfStyle w:val="100000000000" w:firstRow="1" w:lastRow="0" w:firstColumn="0" w:lastColumn="0" w:oddVBand="0" w:evenVBand="0" w:oddHBand="0" w:evenHBand="0" w:firstRowFirstColumn="0" w:firstRowLastColumn="0" w:lastRowFirstColumn="0" w:lastRowLastColumn="0"/>
              <w:rPr>
                <w:b w:val="0"/>
                <w:color w:val="000000"/>
              </w:rPr>
            </w:pPr>
            <w:r w:rsidRPr="00660024">
              <w:rPr>
                <w:b w:val="0"/>
                <w:color w:val="000000"/>
              </w:rPr>
              <w:t>Gas Price</w:t>
            </w:r>
          </w:p>
        </w:tc>
      </w:tr>
      <w:tr w:rsidR="00AB347B" w:rsidRPr="00660024" w14:paraId="325AE141" w14:textId="77777777" w:rsidTr="007E5DC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339EA29C" w14:textId="77777777" w:rsidR="00AB347B" w:rsidRPr="00660024" w:rsidRDefault="00AB347B" w:rsidP="00AB347B">
            <w:pPr>
              <w:rPr>
                <w:b w:val="0"/>
                <w:color w:val="000000"/>
              </w:rPr>
            </w:pPr>
            <w:r w:rsidRPr="00660024">
              <w:rPr>
                <w:b w:val="0"/>
                <w:color w:val="000000"/>
              </w:rPr>
              <w:t>Degree days deviation</w:t>
            </w:r>
          </w:p>
        </w:tc>
        <w:tc>
          <w:tcPr>
            <w:tcW w:w="1498" w:type="dxa"/>
            <w:noWrap/>
            <w:hideMark/>
          </w:tcPr>
          <w:p w14:paraId="67D1188E"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36" w:type="dxa"/>
          </w:tcPr>
          <w:p w14:paraId="48BCB954" w14:textId="4D3D53AB"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color w:val="000000"/>
              </w:rPr>
              <w:t>0</w:t>
            </w:r>
          </w:p>
        </w:tc>
        <w:tc>
          <w:tcPr>
            <w:tcW w:w="222" w:type="dxa"/>
          </w:tcPr>
          <w:p w14:paraId="6F2B1503" w14:textId="4741F765"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069" w:type="dxa"/>
            <w:noWrap/>
            <w:hideMark/>
          </w:tcPr>
          <w:p w14:paraId="5BA7F047" w14:textId="527BB712"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color w:val="000000"/>
              </w:rPr>
              <w:t>0</w:t>
            </w:r>
          </w:p>
        </w:tc>
        <w:tc>
          <w:tcPr>
            <w:tcW w:w="1069" w:type="dxa"/>
            <w:noWrap/>
            <w:hideMark/>
          </w:tcPr>
          <w:p w14:paraId="735AE51B"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color w:val="000000"/>
              </w:rPr>
              <w:t>0</w:t>
            </w:r>
          </w:p>
        </w:tc>
        <w:tc>
          <w:tcPr>
            <w:tcW w:w="1069" w:type="dxa"/>
            <w:noWrap/>
            <w:hideMark/>
          </w:tcPr>
          <w:p w14:paraId="01143094"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color w:val="000000"/>
              </w:rPr>
              <w:t>0</w:t>
            </w:r>
          </w:p>
        </w:tc>
        <w:tc>
          <w:tcPr>
            <w:tcW w:w="1069" w:type="dxa"/>
            <w:noWrap/>
            <w:hideMark/>
          </w:tcPr>
          <w:p w14:paraId="7E98434D"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color w:val="000000"/>
              </w:rPr>
              <w:t>0</w:t>
            </w:r>
          </w:p>
        </w:tc>
      </w:tr>
      <w:tr w:rsidR="00AB347B" w:rsidRPr="00660024" w14:paraId="5DAC02CA" w14:textId="77777777" w:rsidTr="007E5DC9">
        <w:trPr>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30D88C92" w14:textId="77777777" w:rsidR="00AB347B" w:rsidRPr="00660024" w:rsidRDefault="00AB347B" w:rsidP="00AB347B">
            <w:pPr>
              <w:rPr>
                <w:b w:val="0"/>
                <w:bCs w:val="0"/>
                <w:color w:val="000000"/>
              </w:rPr>
            </w:pPr>
            <w:r w:rsidRPr="00660024">
              <w:rPr>
                <w:b w:val="0"/>
                <w:color w:val="000000"/>
              </w:rPr>
              <w:t xml:space="preserve">Change in 3-month </w:t>
            </w:r>
          </w:p>
          <w:p w14:paraId="7E95947A" w14:textId="77777777" w:rsidR="00AB347B" w:rsidRPr="00660024" w:rsidRDefault="00AB347B" w:rsidP="00AB347B">
            <w:pPr>
              <w:rPr>
                <w:b w:val="0"/>
                <w:color w:val="000000"/>
              </w:rPr>
            </w:pPr>
            <w:r w:rsidRPr="00660024">
              <w:rPr>
                <w:b w:val="0"/>
                <w:color w:val="000000"/>
              </w:rPr>
              <w:t>T-bill</w:t>
            </w:r>
          </w:p>
        </w:tc>
        <w:tc>
          <w:tcPr>
            <w:tcW w:w="1498" w:type="dxa"/>
            <w:noWrap/>
            <w:hideMark/>
          </w:tcPr>
          <w:p w14:paraId="4B6E19EF"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c>
          <w:tcPr>
            <w:tcW w:w="236" w:type="dxa"/>
          </w:tcPr>
          <w:p w14:paraId="3291FC08" w14:textId="44BFAFF2"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22" w:type="dxa"/>
          </w:tcPr>
          <w:p w14:paraId="2F7E3D23" w14:textId="0B1EAAFA"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069" w:type="dxa"/>
            <w:noWrap/>
            <w:hideMark/>
          </w:tcPr>
          <w:p w14:paraId="59E5CB5A" w14:textId="62D20E5F"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c>
          <w:tcPr>
            <w:tcW w:w="1069" w:type="dxa"/>
            <w:noWrap/>
            <w:hideMark/>
          </w:tcPr>
          <w:p w14:paraId="0E77124C"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c>
          <w:tcPr>
            <w:tcW w:w="1069" w:type="dxa"/>
            <w:noWrap/>
            <w:hideMark/>
          </w:tcPr>
          <w:p w14:paraId="0905A98E"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c>
          <w:tcPr>
            <w:tcW w:w="1069" w:type="dxa"/>
            <w:noWrap/>
            <w:hideMark/>
          </w:tcPr>
          <w:p w14:paraId="39466C0D"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r>
      <w:tr w:rsidR="00AB347B" w:rsidRPr="00660024" w14:paraId="59D90C37" w14:textId="77777777" w:rsidTr="007E5DC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0FC6D2F3" w14:textId="77777777" w:rsidR="00AB347B" w:rsidRPr="00660024" w:rsidRDefault="00AB347B" w:rsidP="00AB347B">
            <w:pPr>
              <w:rPr>
                <w:b w:val="0"/>
                <w:color w:val="000000"/>
              </w:rPr>
            </w:pPr>
            <w:r w:rsidRPr="00660024">
              <w:rPr>
                <w:b w:val="0"/>
                <w:color w:val="000000"/>
              </w:rPr>
              <w:t>Storage deviation</w:t>
            </w:r>
          </w:p>
        </w:tc>
        <w:tc>
          <w:tcPr>
            <w:tcW w:w="1498" w:type="dxa"/>
            <w:noWrap/>
            <w:hideMark/>
          </w:tcPr>
          <w:p w14:paraId="599770AB"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36" w:type="dxa"/>
          </w:tcPr>
          <w:p w14:paraId="04520D97" w14:textId="08CDB52D"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22" w:type="dxa"/>
          </w:tcPr>
          <w:p w14:paraId="1D66790D" w14:textId="257E9620"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069" w:type="dxa"/>
            <w:noWrap/>
            <w:hideMark/>
          </w:tcPr>
          <w:p w14:paraId="21CA3966" w14:textId="18FC2D6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77BD527F"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3512C72D"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2C6FD8B3"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r>
      <w:tr w:rsidR="00AB347B" w:rsidRPr="00660024" w14:paraId="0A493483" w14:textId="77777777" w:rsidTr="007E5DC9">
        <w:trPr>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23429116" w14:textId="77777777" w:rsidR="00AB347B" w:rsidRPr="00660024" w:rsidRDefault="00AB347B" w:rsidP="00AB347B">
            <w:pPr>
              <w:rPr>
                <w:b w:val="0"/>
                <w:color w:val="000000"/>
              </w:rPr>
            </w:pPr>
            <w:r w:rsidRPr="00660024">
              <w:rPr>
                <w:b w:val="0"/>
                <w:color w:val="000000"/>
              </w:rPr>
              <w:t>Price of WTI</w:t>
            </w:r>
          </w:p>
        </w:tc>
        <w:tc>
          <w:tcPr>
            <w:tcW w:w="1498" w:type="dxa"/>
            <w:noWrap/>
            <w:hideMark/>
          </w:tcPr>
          <w:p w14:paraId="4BC4B66F"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36" w:type="dxa"/>
          </w:tcPr>
          <w:p w14:paraId="5EF9783B" w14:textId="56AC462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22" w:type="dxa"/>
          </w:tcPr>
          <w:p w14:paraId="1F2B2CD5" w14:textId="5AE003AA"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069" w:type="dxa"/>
            <w:noWrap/>
            <w:hideMark/>
          </w:tcPr>
          <w:p w14:paraId="54979810" w14:textId="7F3E96C6"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c>
          <w:tcPr>
            <w:tcW w:w="1069" w:type="dxa"/>
            <w:noWrap/>
            <w:hideMark/>
          </w:tcPr>
          <w:p w14:paraId="755004E9"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19D948BF"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c>
          <w:tcPr>
            <w:tcW w:w="1069" w:type="dxa"/>
            <w:noWrap/>
            <w:hideMark/>
          </w:tcPr>
          <w:p w14:paraId="3FC882A8"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color w:val="000000"/>
              </w:rPr>
              <w:t>0</w:t>
            </w:r>
          </w:p>
        </w:tc>
      </w:tr>
      <w:tr w:rsidR="00AB347B" w:rsidRPr="00660024" w14:paraId="0F7F9C08" w14:textId="77777777" w:rsidTr="007E5DC9">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35703206" w14:textId="77777777" w:rsidR="00AB347B" w:rsidRPr="00660024" w:rsidRDefault="00AB347B" w:rsidP="00AB347B">
            <w:pPr>
              <w:rPr>
                <w:b w:val="0"/>
                <w:color w:val="000000"/>
              </w:rPr>
            </w:pPr>
            <w:r w:rsidRPr="00660024">
              <w:rPr>
                <w:b w:val="0"/>
                <w:color w:val="000000"/>
              </w:rPr>
              <w:t>Price of coal</w:t>
            </w:r>
          </w:p>
        </w:tc>
        <w:tc>
          <w:tcPr>
            <w:tcW w:w="1498" w:type="dxa"/>
            <w:noWrap/>
            <w:hideMark/>
          </w:tcPr>
          <w:p w14:paraId="2C3BDF01"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36" w:type="dxa"/>
          </w:tcPr>
          <w:p w14:paraId="76927C1A" w14:textId="2A0C38F6"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22" w:type="dxa"/>
          </w:tcPr>
          <w:p w14:paraId="481B7F81" w14:textId="238669B8"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069" w:type="dxa"/>
            <w:noWrap/>
            <w:hideMark/>
          </w:tcPr>
          <w:p w14:paraId="0FE70681" w14:textId="5663A771"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color w:val="000000"/>
              </w:rPr>
              <w:t>0</w:t>
            </w:r>
          </w:p>
        </w:tc>
        <w:tc>
          <w:tcPr>
            <w:tcW w:w="1069" w:type="dxa"/>
            <w:noWrap/>
            <w:hideMark/>
          </w:tcPr>
          <w:p w14:paraId="3B79A7E4"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452AB48A"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125CDC64" w14:textId="77777777" w:rsidR="00AB347B" w:rsidRPr="00660024" w:rsidRDefault="00AB347B" w:rsidP="00AB347B">
            <w:pPr>
              <w:jc w:val="center"/>
              <w:cnfStyle w:val="000000100000" w:firstRow="0" w:lastRow="0" w:firstColumn="0" w:lastColumn="0" w:oddVBand="0" w:evenVBand="0" w:oddHBand="1" w:evenHBand="0" w:firstRowFirstColumn="0" w:firstRowLastColumn="0" w:lastRowFirstColumn="0" w:lastRowLastColumn="0"/>
              <w:rPr>
                <w:color w:val="000000"/>
              </w:rPr>
            </w:pPr>
            <w:r w:rsidRPr="00660024">
              <w:rPr>
                <w:rFonts w:ascii="Segoe UI Symbol" w:hAnsi="Segoe UI Symbol" w:cs="Segoe UI Symbol"/>
                <w:color w:val="000000"/>
              </w:rPr>
              <w:t>✶</w:t>
            </w:r>
          </w:p>
        </w:tc>
      </w:tr>
      <w:tr w:rsidR="00AB347B" w:rsidRPr="00660024" w14:paraId="4514A285" w14:textId="77777777" w:rsidTr="007E5DC9">
        <w:trPr>
          <w:trHeight w:val="298"/>
        </w:trPr>
        <w:tc>
          <w:tcPr>
            <w:cnfStyle w:val="001000000000" w:firstRow="0" w:lastRow="0" w:firstColumn="1" w:lastColumn="0" w:oddVBand="0" w:evenVBand="0" w:oddHBand="0" w:evenHBand="0" w:firstRowFirstColumn="0" w:firstRowLastColumn="0" w:lastRowFirstColumn="0" w:lastRowLastColumn="0"/>
            <w:tcW w:w="2310" w:type="dxa"/>
            <w:noWrap/>
            <w:hideMark/>
          </w:tcPr>
          <w:p w14:paraId="2D919F1F" w14:textId="77777777" w:rsidR="00AB347B" w:rsidRPr="00660024" w:rsidRDefault="00AB347B" w:rsidP="00AB347B">
            <w:pPr>
              <w:rPr>
                <w:b w:val="0"/>
                <w:color w:val="000000"/>
              </w:rPr>
            </w:pPr>
            <w:r w:rsidRPr="00660024">
              <w:rPr>
                <w:b w:val="0"/>
                <w:color w:val="000000"/>
              </w:rPr>
              <w:t>Natural gas price</w:t>
            </w:r>
          </w:p>
        </w:tc>
        <w:tc>
          <w:tcPr>
            <w:tcW w:w="1498" w:type="dxa"/>
            <w:noWrap/>
            <w:hideMark/>
          </w:tcPr>
          <w:p w14:paraId="4692354A"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36" w:type="dxa"/>
          </w:tcPr>
          <w:p w14:paraId="31D101EB" w14:textId="31F1F356"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222" w:type="dxa"/>
          </w:tcPr>
          <w:p w14:paraId="67AFFBF1" w14:textId="6CAFDD7D"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069" w:type="dxa"/>
            <w:noWrap/>
            <w:hideMark/>
          </w:tcPr>
          <w:p w14:paraId="7213273B" w14:textId="61F74F74"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7A214395"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692A9F91"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c>
          <w:tcPr>
            <w:tcW w:w="1069" w:type="dxa"/>
            <w:noWrap/>
            <w:hideMark/>
          </w:tcPr>
          <w:p w14:paraId="23386202" w14:textId="77777777" w:rsidR="00AB347B" w:rsidRPr="00660024" w:rsidRDefault="00AB347B" w:rsidP="00AB347B">
            <w:pPr>
              <w:jc w:val="center"/>
              <w:cnfStyle w:val="000000000000" w:firstRow="0" w:lastRow="0" w:firstColumn="0" w:lastColumn="0" w:oddVBand="0" w:evenVBand="0" w:oddHBand="0" w:evenHBand="0" w:firstRowFirstColumn="0" w:firstRowLastColumn="0" w:lastRowFirstColumn="0" w:lastRowLastColumn="0"/>
              <w:rPr>
                <w:color w:val="000000"/>
              </w:rPr>
            </w:pPr>
            <w:r w:rsidRPr="00660024">
              <w:rPr>
                <w:rFonts w:ascii="Segoe UI Symbol" w:hAnsi="Segoe UI Symbol" w:cs="Segoe UI Symbol"/>
                <w:color w:val="000000"/>
              </w:rPr>
              <w:t>✶</w:t>
            </w:r>
          </w:p>
        </w:tc>
      </w:tr>
    </w:tbl>
    <w:p w14:paraId="44CCA79E" w14:textId="4583B396" w:rsidR="005B1323" w:rsidRDefault="007C21DD" w:rsidP="00BC1D29">
      <w:pPr>
        <w:jc w:val="both"/>
        <w:rPr>
          <w:rFonts w:ascii="Times" w:hAnsi="Times"/>
        </w:rPr>
      </w:pPr>
      <w:r w:rsidRPr="00BC1D29">
        <w:rPr>
          <w:rFonts w:ascii="Times" w:hAnsi="Times"/>
          <w:i/>
        </w:rPr>
        <w:t>Not</w:t>
      </w:r>
      <w:r w:rsidR="00BC1D29" w:rsidRPr="00BC1D29">
        <w:rPr>
          <w:rFonts w:ascii="Times" w:hAnsi="Times"/>
          <w:i/>
        </w:rPr>
        <w:t>es</w:t>
      </w:r>
      <w:r w:rsidR="00BC1D29">
        <w:rPr>
          <w:rFonts w:ascii="Times" w:hAnsi="Times"/>
        </w:rPr>
        <w:t xml:space="preserve">: Each row represents an equation in the VAR model with the independent variables ordered in columns. The </w:t>
      </w:r>
      <w:r w:rsidR="00BC1D29" w:rsidRPr="00BC1D29">
        <w:rPr>
          <w:rFonts w:ascii="Segoe UI Symbol" w:hAnsi="Segoe UI Symbol" w:cs="Segoe UI Symbol"/>
        </w:rPr>
        <w:t>✶</w:t>
      </w:r>
      <w:r w:rsidR="00BC1D29">
        <w:rPr>
          <w:rFonts w:ascii="Times" w:hAnsi="Times"/>
        </w:rPr>
        <w:t xml:space="preserve"> denotes the parameters estimated from the data and allow for instantaneous interaction between the variables, whereas 0 indicates that the parameter has been restricted to zero.</w:t>
      </w:r>
    </w:p>
    <w:p w14:paraId="6F191C4F" w14:textId="77777777" w:rsidR="00BC1D29" w:rsidRDefault="00BC1D29" w:rsidP="00BC1D29">
      <w:pPr>
        <w:jc w:val="both"/>
        <w:rPr>
          <w:rFonts w:ascii="Times" w:hAnsi="Times"/>
        </w:rPr>
      </w:pPr>
    </w:p>
    <w:p w14:paraId="6EDF65D9" w14:textId="3E3655BB" w:rsidR="00462DD2" w:rsidRDefault="00166911" w:rsidP="0052436D">
      <w:pPr>
        <w:spacing w:line="480" w:lineRule="auto"/>
        <w:ind w:firstLine="720"/>
        <w:jc w:val="both"/>
        <w:rPr>
          <w:rFonts w:ascii="Times" w:hAnsi="Times"/>
        </w:rPr>
      </w:pPr>
      <w:r>
        <w:rPr>
          <w:rFonts w:ascii="Times" w:hAnsi="Times"/>
        </w:rPr>
        <w:t xml:space="preserve">Since </w:t>
      </w:r>
      <w:r w:rsidR="00927FA5">
        <w:rPr>
          <w:rFonts w:ascii="Times" w:hAnsi="Times"/>
        </w:rPr>
        <w:t>weather</w:t>
      </w:r>
      <w:r w:rsidR="00437772">
        <w:rPr>
          <w:rFonts w:ascii="Times" w:hAnsi="Times"/>
        </w:rPr>
        <w:t xml:space="preserve"> </w:t>
      </w:r>
      <w:r w:rsidR="009F08DC">
        <w:rPr>
          <w:rFonts w:ascii="Times" w:hAnsi="Times"/>
        </w:rPr>
        <w:t xml:space="preserve">and interest rate </w:t>
      </w:r>
      <w:r w:rsidR="00927FA5">
        <w:rPr>
          <w:rFonts w:ascii="Times" w:hAnsi="Times"/>
        </w:rPr>
        <w:t xml:space="preserve">are exogenous </w:t>
      </w:r>
      <w:r w:rsidR="00D91A73">
        <w:rPr>
          <w:rFonts w:ascii="Times" w:hAnsi="Times"/>
        </w:rPr>
        <w:t>to</w:t>
      </w:r>
      <w:r w:rsidR="00927FA5">
        <w:rPr>
          <w:rFonts w:ascii="Times" w:hAnsi="Times"/>
        </w:rPr>
        <w:t xml:space="preserve"> the other variables in this analysis, </w:t>
      </w:r>
      <w:r w:rsidR="004C26BF">
        <w:rPr>
          <w:rFonts w:ascii="Times" w:hAnsi="Times"/>
        </w:rPr>
        <w:t xml:space="preserve">they </w:t>
      </w:r>
      <w:r w:rsidR="00927FA5">
        <w:rPr>
          <w:rFonts w:ascii="Times" w:hAnsi="Times"/>
        </w:rPr>
        <w:t xml:space="preserve">are ordered first within the matrix of contemporaneous interactions. </w:t>
      </w:r>
      <w:r w:rsidR="004C0192">
        <w:rPr>
          <w:rFonts w:ascii="Times" w:hAnsi="Times"/>
        </w:rPr>
        <w:t>Temperature deviations</w:t>
      </w:r>
      <w:r w:rsidR="004A4902">
        <w:rPr>
          <w:rFonts w:ascii="Times" w:hAnsi="Times"/>
        </w:rPr>
        <w:t xml:space="preserve"> </w:t>
      </w:r>
      <w:r w:rsidR="004C0192">
        <w:rPr>
          <w:rFonts w:ascii="Times" w:hAnsi="Times"/>
        </w:rPr>
        <w:t>are</w:t>
      </w:r>
      <w:r w:rsidR="004A4902">
        <w:rPr>
          <w:rFonts w:ascii="Times" w:hAnsi="Times"/>
        </w:rPr>
        <w:t xml:space="preserve"> expected to </w:t>
      </w:r>
      <w:r w:rsidR="00D91A73">
        <w:rPr>
          <w:rFonts w:ascii="Times" w:hAnsi="Times"/>
        </w:rPr>
        <w:t>affect</w:t>
      </w:r>
      <w:r w:rsidR="004A4902">
        <w:rPr>
          <w:rFonts w:ascii="Times" w:hAnsi="Times"/>
        </w:rPr>
        <w:t xml:space="preserve"> storage levels (via withdrawal from underground working gas) for cooling or heating purposes. Consequently, I leave the instantaneous influence of temperature on storage unrestricted. </w:t>
      </w:r>
    </w:p>
    <w:p w14:paraId="7F2FD644" w14:textId="255C4110" w:rsidR="004A4902" w:rsidRDefault="004A4902" w:rsidP="0052436D">
      <w:pPr>
        <w:spacing w:line="480" w:lineRule="auto"/>
        <w:ind w:firstLine="720"/>
        <w:jc w:val="both"/>
        <w:rPr>
          <w:rFonts w:ascii="Times" w:hAnsi="Times"/>
        </w:rPr>
      </w:pPr>
      <w:r>
        <w:rPr>
          <w:rFonts w:ascii="Times" w:hAnsi="Times"/>
        </w:rPr>
        <w:lastRenderedPageBreak/>
        <w:t xml:space="preserve">Storage of a commodity like natural gas </w:t>
      </w:r>
      <w:r w:rsidR="008007A8">
        <w:rPr>
          <w:rFonts w:ascii="Times" w:hAnsi="Times"/>
        </w:rPr>
        <w:t>is</w:t>
      </w:r>
      <w:r>
        <w:rPr>
          <w:rFonts w:ascii="Times" w:hAnsi="Times"/>
        </w:rPr>
        <w:t xml:space="preserve"> expected to be affected by the prevailing interest rate due to </w:t>
      </w:r>
      <w:r w:rsidR="00D91A73">
        <w:rPr>
          <w:rFonts w:ascii="Times" w:hAnsi="Times"/>
        </w:rPr>
        <w:t xml:space="preserve">the </w:t>
      </w:r>
      <w:r>
        <w:rPr>
          <w:rFonts w:ascii="Times" w:hAnsi="Times"/>
        </w:rPr>
        <w:t xml:space="preserve">cost of carrying inventory. In </w:t>
      </w:r>
      <w:r w:rsidR="00D91A73">
        <w:rPr>
          <w:rFonts w:ascii="Times" w:hAnsi="Times"/>
        </w:rPr>
        <w:t>a high-interest</w:t>
      </w:r>
      <w:r>
        <w:rPr>
          <w:rFonts w:ascii="Times" w:hAnsi="Times"/>
        </w:rPr>
        <w:t xml:space="preserve"> rate environment</w:t>
      </w:r>
      <w:r w:rsidR="00D91A73">
        <w:rPr>
          <w:rFonts w:ascii="Times" w:hAnsi="Times"/>
        </w:rPr>
        <w:t>,</w:t>
      </w:r>
      <w:r>
        <w:rPr>
          <w:rFonts w:ascii="Times" w:hAnsi="Times"/>
        </w:rPr>
        <w:t xml:space="preserve"> storage cost increases</w:t>
      </w:r>
      <w:r w:rsidR="00D91A73">
        <w:rPr>
          <w:rFonts w:ascii="Times" w:hAnsi="Times"/>
        </w:rPr>
        <w:t>; therefore</w:t>
      </w:r>
      <w:r>
        <w:rPr>
          <w:rFonts w:ascii="Times" w:hAnsi="Times"/>
        </w:rPr>
        <w:t>, I leave the interaction between interest rate and storage also unrestricted.</w:t>
      </w:r>
      <w:r w:rsidR="00462DD2">
        <w:rPr>
          <w:rFonts w:ascii="Times" w:hAnsi="Times"/>
        </w:rPr>
        <w:t xml:space="preserve"> Gas storage is expected to be affected by gas price changes since inter-temporal price arbitrage is the </w:t>
      </w:r>
      <w:r w:rsidR="00D91A73">
        <w:rPr>
          <w:rFonts w:ascii="Times" w:hAnsi="Times"/>
        </w:rPr>
        <w:t>primary</w:t>
      </w:r>
      <w:r w:rsidR="00462DD2">
        <w:rPr>
          <w:rFonts w:ascii="Times" w:hAnsi="Times"/>
        </w:rPr>
        <w:t xml:space="preserve"> economic rationale for storage operators.</w:t>
      </w:r>
      <w:r w:rsidR="00544C18">
        <w:rPr>
          <w:rFonts w:ascii="Times" w:hAnsi="Times"/>
        </w:rPr>
        <w:t xml:space="preserve"> Additionally, gas storage is used to balance temporary divergence in supply due to unexpected market conditions such as extreme weather conditions and cross-commodity effects. Thus</w:t>
      </w:r>
      <w:r w:rsidR="00544C18" w:rsidRPr="00544C18">
        <w:rPr>
          <w:rFonts w:ascii="Times" w:hAnsi="Times"/>
        </w:rPr>
        <w:t xml:space="preserve">, </w:t>
      </w:r>
      <w:r w:rsidR="001C29F7" w:rsidRPr="00544C18">
        <w:rPr>
          <w:rFonts w:ascii="Times" w:hAnsi="Times"/>
        </w:rPr>
        <w:t xml:space="preserve">contemporaneous </w:t>
      </w:r>
      <w:r w:rsidR="00D91A73">
        <w:rPr>
          <w:rFonts w:ascii="Times" w:hAnsi="Times"/>
        </w:rPr>
        <w:t>impact</w:t>
      </w:r>
      <w:r w:rsidR="001C29F7" w:rsidRPr="00544C18">
        <w:rPr>
          <w:rFonts w:ascii="Times" w:hAnsi="Times"/>
        </w:rPr>
        <w:t xml:space="preserve"> of oil, coal, natural gas prices on storage is left unrestricted</w:t>
      </w:r>
      <w:r w:rsidR="00544C18" w:rsidRPr="00544C18">
        <w:rPr>
          <w:rFonts w:ascii="Times" w:hAnsi="Times"/>
        </w:rPr>
        <w:t>.</w:t>
      </w:r>
      <w:r w:rsidR="00544C18">
        <w:rPr>
          <w:rFonts w:ascii="Times" w:hAnsi="Times"/>
        </w:rPr>
        <w:t xml:space="preserve"> </w:t>
      </w:r>
    </w:p>
    <w:p w14:paraId="158D88D7" w14:textId="3A317AAD" w:rsidR="006913F1" w:rsidRDefault="008007A8" w:rsidP="0052436D">
      <w:pPr>
        <w:spacing w:line="480" w:lineRule="auto"/>
        <w:ind w:firstLine="720"/>
        <w:jc w:val="both"/>
        <w:rPr>
          <w:rFonts w:ascii="Times" w:hAnsi="Times"/>
        </w:rPr>
      </w:pPr>
      <w:r>
        <w:rPr>
          <w:rFonts w:ascii="Times" w:hAnsi="Times"/>
        </w:rPr>
        <w:t>It is intuitive to allow instantaneous interaction between crude oil</w:t>
      </w:r>
      <w:r w:rsidR="00433700">
        <w:rPr>
          <w:rFonts w:ascii="Times" w:hAnsi="Times"/>
        </w:rPr>
        <w:t>, coal, gas</w:t>
      </w:r>
      <w:r>
        <w:rPr>
          <w:rFonts w:ascii="Times" w:hAnsi="Times"/>
        </w:rPr>
        <w:t xml:space="preserve"> prices</w:t>
      </w:r>
      <w:r w:rsidR="00D91A73">
        <w:rPr>
          <w:rFonts w:ascii="Times" w:hAnsi="Times"/>
        </w:rPr>
        <w:t>,</w:t>
      </w:r>
      <w:r>
        <w:rPr>
          <w:rFonts w:ascii="Times" w:hAnsi="Times"/>
        </w:rPr>
        <w:t xml:space="preserve"> and temperature deviations. Extreme cold temperatures increase the demand for heating oil and can raise the price of WTI through this channel. </w:t>
      </w:r>
      <w:r w:rsidR="00433700">
        <w:rPr>
          <w:rFonts w:ascii="Times" w:hAnsi="Times"/>
        </w:rPr>
        <w:t xml:space="preserve">The price of coal may be affected by oil and gas prices since coal serves as a substitute for electricity production. </w:t>
      </w:r>
      <w:r w:rsidR="004C0192">
        <w:rPr>
          <w:rFonts w:ascii="Times" w:hAnsi="Times"/>
        </w:rPr>
        <w:t>Therefore, I</w:t>
      </w:r>
      <w:r w:rsidR="00433700">
        <w:rPr>
          <w:rFonts w:ascii="Times" w:hAnsi="Times"/>
        </w:rPr>
        <w:t xml:space="preserve"> leave the contemporaneous interaction between </w:t>
      </w:r>
      <w:r w:rsidR="00D26830">
        <w:rPr>
          <w:rFonts w:ascii="Times" w:hAnsi="Times"/>
        </w:rPr>
        <w:t>coal, gas, oil prices</w:t>
      </w:r>
      <w:r w:rsidR="00D91A73">
        <w:rPr>
          <w:rFonts w:ascii="Times" w:hAnsi="Times"/>
        </w:rPr>
        <w:t>,</w:t>
      </w:r>
      <w:r w:rsidR="00D26830">
        <w:rPr>
          <w:rFonts w:ascii="Times" w:hAnsi="Times"/>
        </w:rPr>
        <w:t xml:space="preserve"> and temperature unrestricted</w:t>
      </w:r>
      <w:r w:rsidR="004C0192">
        <w:rPr>
          <w:rFonts w:ascii="Times" w:hAnsi="Times"/>
        </w:rPr>
        <w:t xml:space="preserve">. </w:t>
      </w:r>
    </w:p>
    <w:p w14:paraId="5C1AA540" w14:textId="27F04ADD" w:rsidR="008007A8" w:rsidRDefault="004C0192" w:rsidP="0052436D">
      <w:pPr>
        <w:spacing w:line="480" w:lineRule="auto"/>
        <w:ind w:firstLine="720"/>
        <w:jc w:val="both"/>
        <w:rPr>
          <w:noProof/>
        </w:rPr>
      </w:pPr>
      <w:r>
        <w:rPr>
          <w:rFonts w:ascii="Times" w:hAnsi="Times"/>
        </w:rPr>
        <w:t xml:space="preserve">The effect of interest rate across </w:t>
      </w:r>
      <w:r w:rsidR="0016045F">
        <w:rPr>
          <w:rFonts w:ascii="Times" w:hAnsi="Times"/>
        </w:rPr>
        <w:t>all three commodity prices (i.e.</w:t>
      </w:r>
      <w:r w:rsidR="00D91A73">
        <w:rPr>
          <w:rFonts w:ascii="Times" w:hAnsi="Times"/>
        </w:rPr>
        <w:t>,</w:t>
      </w:r>
      <w:r w:rsidR="0016045F">
        <w:rPr>
          <w:rFonts w:ascii="Times" w:hAnsi="Times"/>
        </w:rPr>
        <w:t xml:space="preserve"> crude oil, coal</w:t>
      </w:r>
      <w:r w:rsidR="00D91A73">
        <w:rPr>
          <w:rFonts w:ascii="Times" w:hAnsi="Times"/>
        </w:rPr>
        <w:t>,</w:t>
      </w:r>
      <w:r w:rsidR="0016045F">
        <w:rPr>
          <w:rFonts w:ascii="Times" w:hAnsi="Times"/>
        </w:rPr>
        <w:t xml:space="preserve"> and natural gas) is unrestricted as it has significant explanatory power on the price variability.</w:t>
      </w:r>
      <w:r w:rsidR="00544C18">
        <w:rPr>
          <w:rFonts w:ascii="Times" w:hAnsi="Times"/>
        </w:rPr>
        <w:t xml:space="preserve"> </w:t>
      </w:r>
      <w:r w:rsidR="00433700">
        <w:rPr>
          <w:rFonts w:ascii="Times" w:hAnsi="Times"/>
        </w:rPr>
        <w:t>T</w:t>
      </w:r>
      <w:r w:rsidR="00AA69E6">
        <w:rPr>
          <w:noProof/>
        </w:rPr>
        <w:t>he overshooting model of Dornbusch hypothesizes that monetary changes have real short-run effects on commodity prices</w:t>
      </w:r>
      <w:r w:rsidR="00D26830">
        <w:rPr>
          <w:noProof/>
        </w:rPr>
        <w:t xml:space="preserve"> (Frankel, 1986)</w:t>
      </w:r>
      <w:r w:rsidR="00AA69E6">
        <w:rPr>
          <w:noProof/>
        </w:rPr>
        <w:t>.</w:t>
      </w:r>
      <w:r w:rsidR="00D26830">
        <w:rPr>
          <w:noProof/>
        </w:rPr>
        <w:t xml:space="preserve"> Whenever markets adjust in response to monetary changes, those sectors of the economy that are free to move (i.e.</w:t>
      </w:r>
      <w:r w:rsidR="00D91A73">
        <w:rPr>
          <w:noProof/>
        </w:rPr>
        <w:t>,</w:t>
      </w:r>
      <w:r w:rsidR="00D26830">
        <w:rPr>
          <w:noProof/>
        </w:rPr>
        <w:t xml:space="preserve"> commodities and financial assets) must bear the </w:t>
      </w:r>
      <w:r w:rsidR="006913F1">
        <w:rPr>
          <w:noProof/>
        </w:rPr>
        <w:t xml:space="preserve">burden of </w:t>
      </w:r>
      <w:r w:rsidR="00D91A73">
        <w:rPr>
          <w:noProof/>
        </w:rPr>
        <w:t xml:space="preserve">the </w:t>
      </w:r>
      <w:r w:rsidR="006913F1">
        <w:rPr>
          <w:noProof/>
        </w:rPr>
        <w:t>sluggishness of the sticky sectors (i.e.</w:t>
      </w:r>
      <w:r w:rsidR="00D91A73">
        <w:rPr>
          <w:noProof/>
        </w:rPr>
        <w:t>,</w:t>
      </w:r>
      <w:r w:rsidR="006913F1">
        <w:rPr>
          <w:noProof/>
        </w:rPr>
        <w:t xml:space="preserve"> manufacturing and services).</w:t>
      </w:r>
    </w:p>
    <w:p w14:paraId="1C318D0C" w14:textId="1695E78B" w:rsidR="00C91D23" w:rsidRDefault="00C91D23" w:rsidP="00AC0DFB">
      <w:pPr>
        <w:spacing w:line="480" w:lineRule="auto"/>
        <w:ind w:firstLine="720"/>
        <w:jc w:val="both"/>
        <w:rPr>
          <w:noProof/>
        </w:rPr>
      </w:pPr>
      <w:r>
        <w:rPr>
          <w:noProof/>
        </w:rPr>
        <w:t xml:space="preserve">Finally, since the price of natural gas is the main variable of interest in this research, no restriction is placed on the variables in this equation. </w:t>
      </w:r>
      <w:r w:rsidRPr="009055B2">
        <w:rPr>
          <w:noProof/>
        </w:rPr>
        <w:t>Th</w:t>
      </w:r>
      <w:r w:rsidR="009055B2" w:rsidRPr="009055B2">
        <w:rPr>
          <w:noProof/>
        </w:rPr>
        <w:t xml:space="preserve">ese specifications allow for a </w:t>
      </w:r>
      <w:r w:rsidRPr="009055B2">
        <w:rPr>
          <w:noProof/>
        </w:rPr>
        <w:t xml:space="preserve">comprehensive analysis of the </w:t>
      </w:r>
      <w:r w:rsidR="00D91A73">
        <w:rPr>
          <w:noProof/>
        </w:rPr>
        <w:t>immediate</w:t>
      </w:r>
      <w:r w:rsidRPr="009055B2">
        <w:rPr>
          <w:noProof/>
        </w:rPr>
        <w:t xml:space="preserve"> impacts of all variables considered in the model on natural gas </w:t>
      </w:r>
      <w:r w:rsidR="00D91A73">
        <w:rPr>
          <w:noProof/>
        </w:rPr>
        <w:t>prices</w:t>
      </w:r>
      <w:r w:rsidR="009055B2" w:rsidRPr="009055B2">
        <w:rPr>
          <w:noProof/>
        </w:rPr>
        <w:t>.</w:t>
      </w:r>
    </w:p>
    <w:p w14:paraId="6C65FE34" w14:textId="585BB599" w:rsidR="005057EB" w:rsidRDefault="005057EB" w:rsidP="007E5DC9">
      <w:pPr>
        <w:pStyle w:val="Heading1"/>
        <w:numPr>
          <w:ilvl w:val="0"/>
          <w:numId w:val="2"/>
        </w:numPr>
        <w:rPr>
          <w:rFonts w:ascii="Times New Roman" w:eastAsiaTheme="minorHAnsi" w:hAnsi="Times New Roman" w:cs="Times New Roman"/>
        </w:rPr>
      </w:pPr>
      <w:r w:rsidRPr="00C1178E">
        <w:rPr>
          <w:rFonts w:ascii="Times New Roman" w:eastAsiaTheme="minorHAnsi" w:hAnsi="Times New Roman" w:cs="Times New Roman"/>
        </w:rPr>
        <w:lastRenderedPageBreak/>
        <w:t xml:space="preserve">Empirical </w:t>
      </w:r>
      <w:r w:rsidR="000B1E20" w:rsidRPr="00C1178E">
        <w:rPr>
          <w:rFonts w:ascii="Times New Roman" w:eastAsiaTheme="minorHAnsi" w:hAnsi="Times New Roman" w:cs="Times New Roman"/>
        </w:rPr>
        <w:t>Results</w:t>
      </w:r>
    </w:p>
    <w:p w14:paraId="4EA75FC2" w14:textId="77777777" w:rsidR="00C1178E" w:rsidRPr="00C1178E" w:rsidRDefault="00C1178E" w:rsidP="00C1178E">
      <w:pPr>
        <w:rPr>
          <w:rFonts w:eastAsiaTheme="minorHAnsi"/>
          <w:lang w:bidi="en-US"/>
        </w:rPr>
      </w:pPr>
    </w:p>
    <w:p w14:paraId="57D2304E" w14:textId="5152869F" w:rsidR="00AC0DFB" w:rsidRDefault="00AC0DFB" w:rsidP="00C1178E">
      <w:pPr>
        <w:pStyle w:val="Heading2"/>
        <w:rPr>
          <w:rFonts w:ascii="Times New Roman" w:eastAsiaTheme="minorHAnsi" w:hAnsi="Times New Roman" w:cs="Times New Roman"/>
          <w:b/>
        </w:rPr>
      </w:pPr>
      <w:r w:rsidRPr="00C1178E">
        <w:rPr>
          <w:rFonts w:ascii="Times New Roman" w:eastAsiaTheme="minorHAnsi" w:hAnsi="Times New Roman" w:cs="Times New Roman"/>
          <w:b/>
        </w:rPr>
        <w:t>Impulse Response</w:t>
      </w:r>
      <w:r w:rsidR="009055B2" w:rsidRPr="00C1178E">
        <w:rPr>
          <w:rFonts w:ascii="Times New Roman" w:eastAsiaTheme="minorHAnsi" w:hAnsi="Times New Roman" w:cs="Times New Roman"/>
          <w:b/>
        </w:rPr>
        <w:t xml:space="preserve"> Function</w:t>
      </w:r>
    </w:p>
    <w:p w14:paraId="66036C02" w14:textId="77777777" w:rsidR="007E5DC9" w:rsidRPr="007E5DC9" w:rsidRDefault="007E5DC9" w:rsidP="007E5DC9">
      <w:pPr>
        <w:rPr>
          <w:rFonts w:eastAsiaTheme="minorHAnsi"/>
        </w:rPr>
      </w:pPr>
    </w:p>
    <w:p w14:paraId="28986C31" w14:textId="2750ADAC" w:rsidR="000B3D9E" w:rsidRPr="000B3D9E" w:rsidRDefault="000B3D9E" w:rsidP="005057EB">
      <w:pPr>
        <w:tabs>
          <w:tab w:val="left" w:pos="5732"/>
        </w:tabs>
        <w:spacing w:line="480" w:lineRule="auto"/>
        <w:jc w:val="both"/>
        <w:rPr>
          <w:rFonts w:eastAsia="Cambria Math"/>
        </w:rPr>
      </w:pPr>
      <w:r>
        <w:rPr>
          <w:rFonts w:eastAsia="Cambria Math"/>
        </w:rPr>
        <w:t>The application of the VAR model concerns the evaluation of the impact of structural shocks, which can be done using the moving average (</w:t>
      </w:r>
      <w:r w:rsidR="00D91A73">
        <w:rPr>
          <w:rFonts w:eastAsia="Cambria Math"/>
        </w:rPr>
        <w:t>M.A.</w:t>
      </w:r>
      <w:r>
        <w:rPr>
          <w:rFonts w:eastAsia="Cambria Math"/>
        </w:rPr>
        <w:t>) representation.</w:t>
      </w:r>
      <w:r w:rsidR="00D66D55">
        <w:rPr>
          <w:rFonts w:eastAsia="Cambria Math"/>
        </w:rPr>
        <w:t xml:space="preserve"> Figure </w:t>
      </w:r>
      <w:r w:rsidR="009055B2">
        <w:rPr>
          <w:rFonts w:eastAsia="Cambria Math"/>
        </w:rPr>
        <w:t>2</w:t>
      </w:r>
      <w:r w:rsidR="00D66D55">
        <w:rPr>
          <w:rFonts w:eastAsia="Cambria Math"/>
        </w:rPr>
        <w:t xml:space="preserve"> </w:t>
      </w:r>
      <w:r w:rsidR="00374BF7">
        <w:rPr>
          <w:rFonts w:eastAsia="Cambria Math"/>
        </w:rPr>
        <w:t>presents the estimated impulse response functions for the natural gas price.</w:t>
      </w:r>
    </w:p>
    <w:p w14:paraId="4ABF5262" w14:textId="2D0070B1" w:rsidR="0001198A" w:rsidRDefault="004B09F7" w:rsidP="0001198A">
      <w:pPr>
        <w:spacing w:line="480" w:lineRule="auto"/>
        <w:jc w:val="both"/>
        <w:rPr>
          <w:rFonts w:ascii="Times" w:hAnsi="Times"/>
        </w:rPr>
      </w:pPr>
      <w:r>
        <w:rPr>
          <w:rFonts w:ascii="Times" w:hAnsi="Times"/>
          <w:noProof/>
        </w:rPr>
        <w:drawing>
          <wp:inline distT="0" distB="0" distL="0" distR="0" wp14:anchorId="04EFEE80" wp14:editId="14F6BB91">
            <wp:extent cx="5749908" cy="557784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rf.emf"/>
                    <pic:cNvPicPr/>
                  </pic:nvPicPr>
                  <pic:blipFill>
                    <a:blip r:embed="rId9">
                      <a:extLst>
                        <a:ext uri="{28A0092B-C50C-407E-A947-70E740481C1C}">
                          <a14:useLocalDpi xmlns:a14="http://schemas.microsoft.com/office/drawing/2010/main" val="0"/>
                        </a:ext>
                      </a:extLst>
                    </a:blip>
                    <a:stretch>
                      <a:fillRect/>
                    </a:stretch>
                  </pic:blipFill>
                  <pic:spPr>
                    <a:xfrm>
                      <a:off x="0" y="0"/>
                      <a:ext cx="5749908" cy="5577840"/>
                    </a:xfrm>
                    <a:prstGeom prst="rect">
                      <a:avLst/>
                    </a:prstGeom>
                  </pic:spPr>
                </pic:pic>
              </a:graphicData>
            </a:graphic>
          </wp:inline>
        </w:drawing>
      </w:r>
    </w:p>
    <w:p w14:paraId="3EE14811" w14:textId="290FFE56" w:rsidR="0001198A" w:rsidRDefault="00374BF7" w:rsidP="0001198A">
      <w:pPr>
        <w:jc w:val="both"/>
        <w:rPr>
          <w:rFonts w:ascii="Times" w:hAnsi="Times"/>
        </w:rPr>
      </w:pPr>
      <w:r>
        <w:rPr>
          <w:rFonts w:ascii="Times" w:hAnsi="Times"/>
        </w:rPr>
        <w:t xml:space="preserve">Figure </w:t>
      </w:r>
      <w:r w:rsidR="009055B2">
        <w:rPr>
          <w:rFonts w:ascii="Times" w:hAnsi="Times"/>
        </w:rPr>
        <w:t>2</w:t>
      </w:r>
      <w:r>
        <w:rPr>
          <w:rFonts w:ascii="Times" w:hAnsi="Times"/>
        </w:rPr>
        <w:t>: Responses of natural gas prices to shock from the other variables</w:t>
      </w:r>
    </w:p>
    <w:p w14:paraId="4B813771" w14:textId="285E25EA" w:rsidR="00374BF7" w:rsidRDefault="00374BF7" w:rsidP="0001198A">
      <w:pPr>
        <w:jc w:val="both"/>
        <w:rPr>
          <w:rFonts w:ascii="Times" w:hAnsi="Times"/>
        </w:rPr>
      </w:pPr>
      <w:r w:rsidRPr="00374BF7">
        <w:rPr>
          <w:rFonts w:ascii="Times" w:hAnsi="Times"/>
          <w:i/>
        </w:rPr>
        <w:t>Notes</w:t>
      </w:r>
      <w:r>
        <w:rPr>
          <w:rFonts w:ascii="Times" w:hAnsi="Times"/>
        </w:rPr>
        <w:t>: response is to Cholesky one s. d. innovations 2 s.</w:t>
      </w:r>
      <w:r w:rsidR="00142D36">
        <w:rPr>
          <w:rFonts w:ascii="Times" w:hAnsi="Times"/>
        </w:rPr>
        <w:t xml:space="preserve"> </w:t>
      </w:r>
      <w:r>
        <w:rPr>
          <w:rFonts w:ascii="Times" w:hAnsi="Times"/>
        </w:rPr>
        <w:t xml:space="preserve">e. </w:t>
      </w:r>
    </w:p>
    <w:p w14:paraId="77FB42F1" w14:textId="7D43FDC0" w:rsidR="00142D36" w:rsidRDefault="00142D36" w:rsidP="00142D36">
      <w:pPr>
        <w:jc w:val="both"/>
        <w:rPr>
          <w:rFonts w:ascii="Times" w:hAnsi="Times"/>
        </w:rPr>
      </w:pPr>
    </w:p>
    <w:p w14:paraId="4E0C259F" w14:textId="0CC32C75" w:rsidR="00254C4A" w:rsidRDefault="00142D36" w:rsidP="005E2D4F">
      <w:pPr>
        <w:spacing w:line="480" w:lineRule="auto"/>
        <w:ind w:firstLine="720"/>
        <w:jc w:val="both"/>
        <w:rPr>
          <w:rFonts w:ascii="Times" w:hAnsi="Times"/>
        </w:rPr>
      </w:pPr>
      <w:r>
        <w:rPr>
          <w:rFonts w:ascii="Times" w:hAnsi="Times"/>
        </w:rPr>
        <w:lastRenderedPageBreak/>
        <w:t xml:space="preserve">The impulse response of gas prices to innovations in temperature is consistent with </w:t>
      </w:r>
      <w:r w:rsidR="00D91A73">
        <w:rPr>
          <w:rFonts w:ascii="Times" w:hAnsi="Times"/>
        </w:rPr>
        <w:t>economic</w:t>
      </w:r>
      <w:r>
        <w:rPr>
          <w:rFonts w:ascii="Times" w:hAnsi="Times"/>
        </w:rPr>
        <w:t xml:space="preserve"> reasoning. </w:t>
      </w:r>
      <w:r w:rsidR="00D91A73">
        <w:rPr>
          <w:rFonts w:ascii="Times" w:hAnsi="Times"/>
        </w:rPr>
        <w:t>The extreme</w:t>
      </w:r>
      <w:r>
        <w:rPr>
          <w:rFonts w:ascii="Times" w:hAnsi="Times"/>
        </w:rPr>
        <w:t xml:space="preserve"> temperature </w:t>
      </w:r>
      <w:r w:rsidR="00813AA6">
        <w:rPr>
          <w:rFonts w:ascii="Times" w:hAnsi="Times"/>
        </w:rPr>
        <w:t xml:space="preserve">has an immediate and </w:t>
      </w:r>
      <w:r w:rsidR="00D91A73">
        <w:rPr>
          <w:rFonts w:ascii="Times" w:hAnsi="Times"/>
        </w:rPr>
        <w:t>substantial</w:t>
      </w:r>
      <w:r w:rsidR="00813AA6">
        <w:rPr>
          <w:rFonts w:ascii="Times" w:hAnsi="Times"/>
        </w:rPr>
        <w:t xml:space="preserve"> impact on the price of natural gas through demand for heating or cooling in </w:t>
      </w:r>
      <w:r w:rsidR="009055B2">
        <w:rPr>
          <w:rFonts w:ascii="Times" w:hAnsi="Times"/>
        </w:rPr>
        <w:t>residential</w:t>
      </w:r>
      <w:r w:rsidR="00813AA6">
        <w:rPr>
          <w:rFonts w:ascii="Times" w:hAnsi="Times"/>
        </w:rPr>
        <w:t xml:space="preserve"> and business buildings. The effect is significant </w:t>
      </w:r>
      <w:r w:rsidR="008B374C">
        <w:rPr>
          <w:rFonts w:ascii="Times" w:hAnsi="Times"/>
        </w:rPr>
        <w:t>and declines over time but can</w:t>
      </w:r>
      <w:r w:rsidR="00813AA6">
        <w:rPr>
          <w:rFonts w:ascii="Times" w:hAnsi="Times"/>
        </w:rPr>
        <w:t xml:space="preserve"> last for as long as </w:t>
      </w:r>
      <w:r w:rsidR="00D91A73">
        <w:rPr>
          <w:rFonts w:ascii="Times" w:hAnsi="Times"/>
        </w:rPr>
        <w:t>ten</w:t>
      </w:r>
      <w:r w:rsidR="00813AA6">
        <w:rPr>
          <w:rFonts w:ascii="Times" w:hAnsi="Times"/>
        </w:rPr>
        <w:t xml:space="preserve"> weeks, which indicates that temperature shocks </w:t>
      </w:r>
      <w:r w:rsidR="00D91A73">
        <w:rPr>
          <w:rFonts w:ascii="Times" w:hAnsi="Times"/>
        </w:rPr>
        <w:t>have a short-term impact on</w:t>
      </w:r>
      <w:r w:rsidR="00813AA6">
        <w:rPr>
          <w:rFonts w:ascii="Times" w:hAnsi="Times"/>
        </w:rPr>
        <w:t xml:space="preserve"> </w:t>
      </w:r>
      <w:r w:rsidR="004B09F7">
        <w:rPr>
          <w:rFonts w:ascii="Times" w:hAnsi="Times"/>
        </w:rPr>
        <w:t xml:space="preserve">natural </w:t>
      </w:r>
      <w:r w:rsidR="00813AA6">
        <w:rPr>
          <w:rFonts w:ascii="Times" w:hAnsi="Times"/>
        </w:rPr>
        <w:t xml:space="preserve">gas prices. </w:t>
      </w:r>
      <w:r w:rsidR="001F050E">
        <w:rPr>
          <w:rFonts w:ascii="Times" w:hAnsi="Times"/>
        </w:rPr>
        <w:t xml:space="preserve">Short-term interest rate </w:t>
      </w:r>
      <w:r w:rsidR="00254C4A">
        <w:rPr>
          <w:rFonts w:ascii="Times" w:hAnsi="Times"/>
        </w:rPr>
        <w:t xml:space="preserve">innovation </w:t>
      </w:r>
      <w:r w:rsidR="001F050E">
        <w:rPr>
          <w:rFonts w:ascii="Times" w:hAnsi="Times"/>
        </w:rPr>
        <w:t xml:space="preserve">has no </w:t>
      </w:r>
      <w:r w:rsidR="00254C4A">
        <w:rPr>
          <w:rFonts w:ascii="Times" w:hAnsi="Times"/>
        </w:rPr>
        <w:t>significant</w:t>
      </w:r>
      <w:r w:rsidR="001F050E">
        <w:rPr>
          <w:rFonts w:ascii="Times" w:hAnsi="Times"/>
        </w:rPr>
        <w:t xml:space="preserve"> effect on gas prices</w:t>
      </w:r>
      <w:r w:rsidR="005E2D4F">
        <w:rPr>
          <w:rFonts w:ascii="Times" w:hAnsi="Times"/>
        </w:rPr>
        <w:t xml:space="preserve"> </w:t>
      </w:r>
      <w:r w:rsidR="00D91A73">
        <w:rPr>
          <w:rFonts w:ascii="Times" w:hAnsi="Times"/>
        </w:rPr>
        <w:t>and</w:t>
      </w:r>
      <w:r w:rsidR="00F60BA0">
        <w:rPr>
          <w:rFonts w:ascii="Times" w:hAnsi="Times"/>
        </w:rPr>
        <w:t xml:space="preserve"> </w:t>
      </w:r>
      <w:r w:rsidR="00F44D03">
        <w:rPr>
          <w:rFonts w:ascii="Times" w:hAnsi="Times"/>
        </w:rPr>
        <w:t xml:space="preserve">crude oil and coal prices, </w:t>
      </w:r>
      <w:r w:rsidR="005E2D4F">
        <w:rPr>
          <w:rFonts w:ascii="Times" w:hAnsi="Times"/>
        </w:rPr>
        <w:t>which is contrary to my a priori assumption.</w:t>
      </w:r>
      <w:r w:rsidR="00254C4A">
        <w:rPr>
          <w:rFonts w:ascii="Times" w:hAnsi="Times"/>
        </w:rPr>
        <w:t xml:space="preserve"> </w:t>
      </w:r>
    </w:p>
    <w:p w14:paraId="6857BFF1" w14:textId="2E14FD6C" w:rsidR="005E2D4F" w:rsidRDefault="00254C4A" w:rsidP="005E2D4F">
      <w:pPr>
        <w:spacing w:line="480" w:lineRule="auto"/>
        <w:ind w:firstLine="720"/>
        <w:jc w:val="both"/>
        <w:rPr>
          <w:rFonts w:ascii="Times" w:hAnsi="Times"/>
        </w:rPr>
      </w:pPr>
      <w:r>
        <w:rPr>
          <w:rFonts w:ascii="Times" w:hAnsi="Times"/>
        </w:rPr>
        <w:t xml:space="preserve">Innovations from storage </w:t>
      </w:r>
      <w:r w:rsidR="00D91A73">
        <w:rPr>
          <w:rFonts w:ascii="Times" w:hAnsi="Times"/>
        </w:rPr>
        <w:t>do</w:t>
      </w:r>
      <w:r>
        <w:rPr>
          <w:rFonts w:ascii="Times" w:hAnsi="Times"/>
        </w:rPr>
        <w:t xml:space="preserve"> not also affect gas price movement. </w:t>
      </w:r>
      <w:r w:rsidR="00C1178E">
        <w:rPr>
          <w:rFonts w:ascii="Times" w:hAnsi="Times"/>
        </w:rPr>
        <w:t xml:space="preserve">This finding is consistent with the results of another empirical research by Wang </w:t>
      </w:r>
      <w:r w:rsidR="00D91A73">
        <w:rPr>
          <w:rFonts w:ascii="Times" w:hAnsi="Times"/>
        </w:rPr>
        <w:t>et al.</w:t>
      </w:r>
      <w:r w:rsidR="00C1178E">
        <w:rPr>
          <w:rFonts w:ascii="Times" w:hAnsi="Times"/>
        </w:rPr>
        <w:t xml:space="preserve"> (2019)</w:t>
      </w:r>
      <w:r w:rsidR="00D91A73">
        <w:rPr>
          <w:rFonts w:ascii="Times" w:hAnsi="Times"/>
        </w:rPr>
        <w:t>,</w:t>
      </w:r>
      <w:r w:rsidR="00C1178E">
        <w:rPr>
          <w:rFonts w:ascii="Times" w:hAnsi="Times"/>
        </w:rPr>
        <w:t xml:space="preserve"> who find that the influence of storage </w:t>
      </w:r>
      <w:r w:rsidR="00D91A73">
        <w:rPr>
          <w:rFonts w:ascii="Times" w:hAnsi="Times"/>
        </w:rPr>
        <w:t>on</w:t>
      </w:r>
      <w:r w:rsidR="00C1178E">
        <w:rPr>
          <w:rFonts w:ascii="Times" w:hAnsi="Times"/>
        </w:rPr>
        <w:t xml:space="preserve"> natural gas prices proves to be marginal.</w:t>
      </w:r>
    </w:p>
    <w:p w14:paraId="3751E1C3" w14:textId="77777777" w:rsidR="00D91A73" w:rsidRDefault="00F44D03" w:rsidP="000B1E20">
      <w:pPr>
        <w:spacing w:line="480" w:lineRule="auto"/>
        <w:ind w:firstLine="720"/>
        <w:jc w:val="both"/>
        <w:rPr>
          <w:rFonts w:ascii="Times" w:hAnsi="Times"/>
        </w:rPr>
      </w:pPr>
      <w:r>
        <w:rPr>
          <w:rFonts w:ascii="Times" w:hAnsi="Times"/>
        </w:rPr>
        <w:t xml:space="preserve">The derived structural response of natural gas prices to crude oil and coal prices </w:t>
      </w:r>
      <w:r w:rsidR="00D91A73">
        <w:rPr>
          <w:rFonts w:ascii="Times" w:hAnsi="Times"/>
        </w:rPr>
        <w:t>reveals</w:t>
      </w:r>
      <w:r>
        <w:rPr>
          <w:rFonts w:ascii="Times" w:hAnsi="Times"/>
        </w:rPr>
        <w:t xml:space="preserve"> significant interdependencies among energy commodities.</w:t>
      </w:r>
      <w:r w:rsidR="008B374C">
        <w:rPr>
          <w:rFonts w:ascii="Times" w:hAnsi="Times"/>
        </w:rPr>
        <w:t xml:space="preserve"> </w:t>
      </w:r>
      <w:r w:rsidR="0001198A">
        <w:rPr>
          <w:rFonts w:ascii="Times" w:hAnsi="Times"/>
        </w:rPr>
        <w:t>The price of gas responds positively to innovations in both oil and coal prices. However, the pattern with which oil and coal influence gas prices is fundamentally differen</w:t>
      </w:r>
      <w:r w:rsidR="00C1178E">
        <w:rPr>
          <w:rFonts w:ascii="Times" w:hAnsi="Times"/>
        </w:rPr>
        <w:t>t</w:t>
      </w:r>
      <w:r w:rsidR="0001198A">
        <w:rPr>
          <w:rFonts w:ascii="Times" w:hAnsi="Times"/>
        </w:rPr>
        <w:t xml:space="preserve">. Oil price shocks impact natural gas </w:t>
      </w:r>
      <w:r w:rsidR="00D91A73">
        <w:rPr>
          <w:rFonts w:ascii="Times" w:hAnsi="Times"/>
        </w:rPr>
        <w:t>prices</w:t>
      </w:r>
      <w:r w:rsidR="0001198A">
        <w:rPr>
          <w:rFonts w:ascii="Times" w:hAnsi="Times"/>
        </w:rPr>
        <w:t xml:space="preserve"> instantly, causing the </w:t>
      </w:r>
      <w:r w:rsidR="004B09F7">
        <w:rPr>
          <w:rFonts w:ascii="Times" w:hAnsi="Times"/>
        </w:rPr>
        <w:t>cyclical price movement in</w:t>
      </w:r>
      <w:r w:rsidR="0001198A">
        <w:rPr>
          <w:rFonts w:ascii="Times" w:hAnsi="Times"/>
        </w:rPr>
        <w:t xml:space="preserve"> natural gas </w:t>
      </w:r>
      <w:r w:rsidR="004B09F7">
        <w:rPr>
          <w:rFonts w:ascii="Times" w:hAnsi="Times"/>
        </w:rPr>
        <w:t>in</w:t>
      </w:r>
      <w:r w:rsidR="0001198A">
        <w:rPr>
          <w:rFonts w:ascii="Times" w:hAnsi="Times"/>
        </w:rPr>
        <w:t xml:space="preserve"> the short-ter</w:t>
      </w:r>
      <w:r w:rsidR="004B09F7">
        <w:rPr>
          <w:rFonts w:ascii="Times" w:hAnsi="Times"/>
        </w:rPr>
        <w:t>m</w:t>
      </w:r>
      <w:r w:rsidR="0001198A">
        <w:rPr>
          <w:rFonts w:ascii="Times" w:hAnsi="Times"/>
        </w:rPr>
        <w:t>, but</w:t>
      </w:r>
      <w:r w:rsidR="004B09F7">
        <w:rPr>
          <w:rFonts w:ascii="Times" w:hAnsi="Times"/>
        </w:rPr>
        <w:t xml:space="preserve"> later establish a long-run relationship after that.</w:t>
      </w:r>
      <w:r w:rsidR="0001198A">
        <w:rPr>
          <w:rFonts w:ascii="Times" w:hAnsi="Times"/>
        </w:rPr>
        <w:t xml:space="preserve"> </w:t>
      </w:r>
      <w:r w:rsidR="004B09F7">
        <w:rPr>
          <w:rFonts w:ascii="Times" w:hAnsi="Times"/>
        </w:rPr>
        <w:t>This long-run relationship between natural gas and oil prices is plausible as there exists a physical link in their direct substitution relation in the residential heating sector.</w:t>
      </w:r>
    </w:p>
    <w:p w14:paraId="4DA1E2D1" w14:textId="6F623515" w:rsidR="005E2D4F" w:rsidRPr="00C1178E" w:rsidRDefault="0001198A" w:rsidP="000B1E20">
      <w:pPr>
        <w:spacing w:line="480" w:lineRule="auto"/>
        <w:ind w:firstLine="720"/>
        <w:jc w:val="both"/>
        <w:rPr>
          <w:rFonts w:ascii="Times" w:hAnsi="Times"/>
        </w:rPr>
      </w:pPr>
      <w:r>
        <w:rPr>
          <w:rFonts w:ascii="Times" w:hAnsi="Times"/>
        </w:rPr>
        <w:t>In contrast, coal prices only affect natural gas prices with a delay</w:t>
      </w:r>
      <w:r w:rsidR="004B09F7">
        <w:rPr>
          <w:rFonts w:ascii="Times" w:hAnsi="Times"/>
        </w:rPr>
        <w:t xml:space="preserve">, </w:t>
      </w:r>
      <w:r>
        <w:rPr>
          <w:rFonts w:ascii="Times" w:hAnsi="Times"/>
        </w:rPr>
        <w:t>but its effect is substantial and remains stable over time</w:t>
      </w:r>
      <w:r w:rsidR="004B09F7">
        <w:rPr>
          <w:rFonts w:ascii="Times" w:hAnsi="Times"/>
        </w:rPr>
        <w:t xml:space="preserve"> and gradually </w:t>
      </w:r>
      <w:r w:rsidR="00D91A73">
        <w:rPr>
          <w:rFonts w:ascii="Times" w:hAnsi="Times"/>
        </w:rPr>
        <w:t>declines</w:t>
      </w:r>
      <w:r>
        <w:rPr>
          <w:rFonts w:ascii="Times" w:hAnsi="Times"/>
        </w:rPr>
        <w:t xml:space="preserve">. The strong interdependency </w:t>
      </w:r>
      <w:r w:rsidR="004B09F7">
        <w:rPr>
          <w:rFonts w:ascii="Times" w:hAnsi="Times"/>
        </w:rPr>
        <w:t>between</w:t>
      </w:r>
      <w:r>
        <w:rPr>
          <w:rFonts w:ascii="Times" w:hAnsi="Times"/>
        </w:rPr>
        <w:t xml:space="preserve"> coal and natural gas can be attributed to the energy mix of the </w:t>
      </w:r>
      <w:r w:rsidR="00D91A73">
        <w:rPr>
          <w:rFonts w:ascii="Times" w:hAnsi="Times"/>
        </w:rPr>
        <w:t>U.S.</w:t>
      </w:r>
      <w:r>
        <w:rPr>
          <w:rFonts w:ascii="Times" w:hAnsi="Times"/>
        </w:rPr>
        <w:t xml:space="preserve"> electricity generation industry</w:t>
      </w:r>
      <w:r w:rsidRPr="00C1178E">
        <w:rPr>
          <w:rFonts w:ascii="Times" w:hAnsi="Times"/>
        </w:rPr>
        <w:t xml:space="preserve">. </w:t>
      </w:r>
      <w:r w:rsidR="004B09F7" w:rsidRPr="00C1178E">
        <w:rPr>
          <w:rFonts w:ascii="Times" w:hAnsi="Times"/>
        </w:rPr>
        <w:t xml:space="preserve">According to the </w:t>
      </w:r>
      <w:r w:rsidR="00D91A73">
        <w:rPr>
          <w:rFonts w:ascii="Times" w:hAnsi="Times"/>
        </w:rPr>
        <w:t>U.S.</w:t>
      </w:r>
      <w:r w:rsidR="004B09F7" w:rsidRPr="00C1178E">
        <w:rPr>
          <w:rFonts w:ascii="Times" w:hAnsi="Times"/>
        </w:rPr>
        <w:t xml:space="preserve"> Energy Information Administration (EIA), about 35.1% and 27.4% of total electricity generation output </w:t>
      </w:r>
      <w:r w:rsidR="00D91A73">
        <w:rPr>
          <w:rFonts w:ascii="Times" w:hAnsi="Times"/>
        </w:rPr>
        <w:t>were</w:t>
      </w:r>
      <w:r w:rsidR="004B09F7" w:rsidRPr="00C1178E">
        <w:rPr>
          <w:rFonts w:ascii="Times" w:hAnsi="Times"/>
        </w:rPr>
        <w:t xml:space="preserve"> from coal and natural gas</w:t>
      </w:r>
      <w:r w:rsidR="00D91A73">
        <w:rPr>
          <w:rFonts w:ascii="Times" w:hAnsi="Times"/>
        </w:rPr>
        <w:t>,</w:t>
      </w:r>
      <w:r w:rsidR="004B09F7" w:rsidRPr="00C1178E">
        <w:rPr>
          <w:rFonts w:ascii="Times" w:hAnsi="Times"/>
        </w:rPr>
        <w:t xml:space="preserve"> respectively in 2018. This brings about </w:t>
      </w:r>
      <w:r w:rsidR="00D91A73">
        <w:rPr>
          <w:rFonts w:ascii="Times" w:hAnsi="Times"/>
        </w:rPr>
        <w:t>fuel competition</w:t>
      </w:r>
      <w:r w:rsidR="004B09F7" w:rsidRPr="00C1178E">
        <w:rPr>
          <w:rFonts w:ascii="Times" w:hAnsi="Times"/>
        </w:rPr>
        <w:t xml:space="preserve"> among energy producers, which may induce a positive cross-price elasticity </w:t>
      </w:r>
      <w:r w:rsidR="004B09F7" w:rsidRPr="00C1178E">
        <w:rPr>
          <w:rFonts w:ascii="Times" w:hAnsi="Times"/>
        </w:rPr>
        <w:lastRenderedPageBreak/>
        <w:t>of these two commodities. Consequently, a rise in the price of coal implies an increase in the demand for natural gas and</w:t>
      </w:r>
      <w:r w:rsidR="00D91A73">
        <w:rPr>
          <w:rFonts w:ascii="Times" w:hAnsi="Times"/>
        </w:rPr>
        <w:t>,</w:t>
      </w:r>
      <w:r w:rsidR="004B09F7" w:rsidRPr="00C1178E">
        <w:rPr>
          <w:rFonts w:ascii="Times" w:hAnsi="Times"/>
        </w:rPr>
        <w:t xml:space="preserve"> therefore a resulting price increase. </w:t>
      </w:r>
    </w:p>
    <w:p w14:paraId="1E74021C" w14:textId="1D1EA01D" w:rsidR="00AC0DFB" w:rsidRDefault="00FC341C" w:rsidP="009055B2">
      <w:pPr>
        <w:spacing w:line="480" w:lineRule="auto"/>
        <w:ind w:firstLine="720"/>
        <w:jc w:val="both"/>
        <w:rPr>
          <w:rFonts w:ascii="Times" w:hAnsi="Times"/>
        </w:rPr>
      </w:pPr>
      <w:r>
        <w:rPr>
          <w:rFonts w:ascii="Times" w:hAnsi="Times"/>
        </w:rPr>
        <w:t xml:space="preserve">Although </w:t>
      </w:r>
      <w:r w:rsidR="00D91A73">
        <w:rPr>
          <w:rFonts w:ascii="Times" w:hAnsi="Times"/>
        </w:rPr>
        <w:t>this research focuses</w:t>
      </w:r>
      <w:r>
        <w:rPr>
          <w:rFonts w:ascii="Times" w:hAnsi="Times"/>
        </w:rPr>
        <w:t xml:space="preserve"> on the determinants of natural gas price variability, it is worth discussing the structural response of storage</w:t>
      </w:r>
      <w:r w:rsidR="00D91A73">
        <w:rPr>
          <w:rFonts w:ascii="Times" w:hAnsi="Times"/>
        </w:rPr>
        <w:t>,</w:t>
      </w:r>
      <w:r>
        <w:rPr>
          <w:rFonts w:ascii="Times" w:hAnsi="Times"/>
        </w:rPr>
        <w:t xml:space="preserve"> </w:t>
      </w:r>
      <w:r w:rsidR="00750953">
        <w:rPr>
          <w:rFonts w:ascii="Times" w:hAnsi="Times"/>
        </w:rPr>
        <w:t xml:space="preserve">as shown </w:t>
      </w:r>
      <w:r w:rsidR="00750953" w:rsidRPr="00C1178E">
        <w:rPr>
          <w:rFonts w:ascii="Times" w:hAnsi="Times"/>
        </w:rPr>
        <w:t>in Appendix 1A.</w:t>
      </w:r>
      <w:r w:rsidR="00750953">
        <w:rPr>
          <w:rFonts w:ascii="Times" w:hAnsi="Times"/>
        </w:rPr>
        <w:t xml:space="preserve"> The impulse response function reveals that extraordinary temperature</w:t>
      </w:r>
      <w:r w:rsidR="008E2DA0">
        <w:rPr>
          <w:rFonts w:ascii="Times" w:hAnsi="Times"/>
        </w:rPr>
        <w:t>s</w:t>
      </w:r>
      <w:r w:rsidR="00750953">
        <w:rPr>
          <w:rFonts w:ascii="Times" w:hAnsi="Times"/>
        </w:rPr>
        <w:t xml:space="preserve"> lead to storage withdrawals. This phenomenon is caused by the demand for temperature-sensitive natural gas in </w:t>
      </w:r>
      <w:r w:rsidR="00D91A73">
        <w:rPr>
          <w:rFonts w:ascii="Times" w:hAnsi="Times"/>
        </w:rPr>
        <w:t xml:space="preserve">the </w:t>
      </w:r>
      <w:r w:rsidR="00750953">
        <w:rPr>
          <w:rFonts w:ascii="Times" w:hAnsi="Times"/>
        </w:rPr>
        <w:t xml:space="preserve">heating and cooling of residential and commercial facilities. </w:t>
      </w:r>
      <w:r w:rsidR="008E2DA0">
        <w:rPr>
          <w:rFonts w:ascii="Times" w:hAnsi="Times"/>
        </w:rPr>
        <w:t>The response of storage flows to natural gas price shocks is insignificant</w:t>
      </w:r>
      <w:r w:rsidR="00D91A73">
        <w:rPr>
          <w:rFonts w:ascii="Times" w:hAnsi="Times"/>
        </w:rPr>
        <w:t>,</w:t>
      </w:r>
      <w:r w:rsidR="008E2DA0">
        <w:rPr>
          <w:rFonts w:ascii="Times" w:hAnsi="Times"/>
        </w:rPr>
        <w:t xml:space="preserve"> and it’s inconsistent with economic expectations. This is because an increase in natural gas prices should incentivize storage holders to withdrawal from their inventory. However, storage withdrawals occur in response to shocks in coal prices. It could be explained by the cross-commodity relationship </w:t>
      </w:r>
      <w:r w:rsidR="003342CF">
        <w:rPr>
          <w:rFonts w:ascii="Times" w:hAnsi="Times"/>
        </w:rPr>
        <w:t>emphasized</w:t>
      </w:r>
      <w:r w:rsidR="008E2DA0">
        <w:rPr>
          <w:rFonts w:ascii="Times" w:hAnsi="Times"/>
        </w:rPr>
        <w:t xml:space="preserve"> earlier. An increase in coal prices implies high demand</w:t>
      </w:r>
      <w:r w:rsidR="00D91A73">
        <w:rPr>
          <w:rFonts w:ascii="Times" w:hAnsi="Times"/>
        </w:rPr>
        <w:t>; therefore,</w:t>
      </w:r>
      <w:r w:rsidR="008E2DA0">
        <w:rPr>
          <w:rFonts w:ascii="Times" w:hAnsi="Times"/>
        </w:rPr>
        <w:t xml:space="preserve"> electricity producers who </w:t>
      </w:r>
      <w:r w:rsidR="00D91A73">
        <w:rPr>
          <w:rFonts w:ascii="Times" w:hAnsi="Times"/>
        </w:rPr>
        <w:t>can</w:t>
      </w:r>
      <w:r w:rsidR="008E2DA0">
        <w:rPr>
          <w:rFonts w:ascii="Times" w:hAnsi="Times"/>
        </w:rPr>
        <w:t xml:space="preserve"> switch their input move to natural gas</w:t>
      </w:r>
      <w:r w:rsidR="00D91A73">
        <w:rPr>
          <w:rFonts w:ascii="Times" w:hAnsi="Times"/>
        </w:rPr>
        <w:t>, which affects</w:t>
      </w:r>
      <w:r w:rsidR="008E2DA0">
        <w:rPr>
          <w:rFonts w:ascii="Times" w:hAnsi="Times"/>
        </w:rPr>
        <w:t xml:space="preserve"> storage levels through withdrawals.</w:t>
      </w:r>
    </w:p>
    <w:p w14:paraId="14CA635F" w14:textId="77777777" w:rsidR="009055B2" w:rsidRDefault="009055B2" w:rsidP="009055B2">
      <w:pPr>
        <w:spacing w:line="480" w:lineRule="auto"/>
        <w:ind w:firstLine="720"/>
        <w:jc w:val="both"/>
        <w:rPr>
          <w:rFonts w:ascii="Times" w:hAnsi="Times"/>
        </w:rPr>
      </w:pPr>
    </w:p>
    <w:p w14:paraId="193AC0D9" w14:textId="7E04F203" w:rsidR="007E5DC9" w:rsidRPr="007E5DC9" w:rsidRDefault="00AC0DFB" w:rsidP="007E5DC9">
      <w:pPr>
        <w:pStyle w:val="Heading2"/>
        <w:rPr>
          <w:rFonts w:ascii="Times New Roman" w:hAnsi="Times New Roman" w:cs="Times New Roman"/>
          <w:b/>
        </w:rPr>
      </w:pPr>
      <w:r w:rsidRPr="00C1178E">
        <w:rPr>
          <w:rFonts w:ascii="Times New Roman" w:hAnsi="Times New Roman" w:cs="Times New Roman"/>
          <w:b/>
        </w:rPr>
        <w:t>Forecast Error Variance Decomposition</w:t>
      </w:r>
    </w:p>
    <w:p w14:paraId="689A290F" w14:textId="77777777" w:rsidR="00C1178E" w:rsidRPr="00C1178E" w:rsidRDefault="00C1178E" w:rsidP="00C1178E"/>
    <w:p w14:paraId="61328CCF" w14:textId="55AA4D4A" w:rsidR="00BA264B" w:rsidRDefault="000F6F99" w:rsidP="000B1E20">
      <w:pPr>
        <w:spacing w:line="480" w:lineRule="auto"/>
        <w:ind w:firstLine="720"/>
        <w:jc w:val="both"/>
        <w:rPr>
          <w:rFonts w:ascii="Times" w:hAnsi="Times"/>
        </w:rPr>
      </w:pPr>
      <w:r>
        <w:rPr>
          <w:rFonts w:ascii="Times" w:hAnsi="Times"/>
        </w:rPr>
        <w:t xml:space="preserve">After identifying the structural dynamics in the natural gas market, it is appropriate to investigate the fundamental influences of each variable on natural gas price movement. I perform a forecast error variance decomposition using the results of the estimated structural VAR model. </w:t>
      </w:r>
      <w:r w:rsidR="00AC0DFB">
        <w:rPr>
          <w:rFonts w:ascii="Times" w:hAnsi="Times"/>
        </w:rPr>
        <w:t xml:space="preserve">The variance decomposition splits the forecast error variance of each endogenous variable, at different forecast horizons, into the components due to each of the shocks. This provides information on their relative importance. </w:t>
      </w:r>
      <w:r>
        <w:rPr>
          <w:rFonts w:ascii="Times" w:hAnsi="Times"/>
        </w:rPr>
        <w:t xml:space="preserve">The contributions of innovations in variables calculated through the moving average representation of the VAR model </w:t>
      </w:r>
      <w:r w:rsidR="00D91A73">
        <w:rPr>
          <w:rFonts w:ascii="Times" w:hAnsi="Times"/>
        </w:rPr>
        <w:t>are</w:t>
      </w:r>
      <w:r w:rsidR="00BA264B">
        <w:rPr>
          <w:rFonts w:ascii="Times" w:hAnsi="Times"/>
        </w:rPr>
        <w:t xml:space="preserve"> presented in Table 3.</w:t>
      </w:r>
    </w:p>
    <w:p w14:paraId="3F650402" w14:textId="4255B090" w:rsidR="00AC0DFB" w:rsidRDefault="00AC0DFB" w:rsidP="00AC0DFB">
      <w:pPr>
        <w:jc w:val="both"/>
        <w:rPr>
          <w:rFonts w:ascii="Times" w:hAnsi="Times"/>
        </w:rPr>
      </w:pPr>
      <w:r>
        <w:rPr>
          <w:rFonts w:ascii="Times" w:hAnsi="Times"/>
        </w:rPr>
        <w:t>Table 3: Forecast error variance decomposition for natural gas price</w:t>
      </w:r>
    </w:p>
    <w:p w14:paraId="6C63674A" w14:textId="77777777" w:rsidR="00AC0DFB" w:rsidRDefault="00AC0DFB" w:rsidP="00AC0DFB">
      <w:pPr>
        <w:jc w:val="both"/>
        <w:rPr>
          <w:rFonts w:ascii="Times" w:hAnsi="Times"/>
        </w:rPr>
      </w:pPr>
    </w:p>
    <w:tbl>
      <w:tblPr>
        <w:tblStyle w:val="PlainTable2"/>
        <w:tblW w:w="9660" w:type="dxa"/>
        <w:tblLook w:val="04A0" w:firstRow="1" w:lastRow="0" w:firstColumn="1" w:lastColumn="0" w:noHBand="0" w:noVBand="1"/>
      </w:tblPr>
      <w:tblGrid>
        <w:gridCol w:w="1300"/>
        <w:gridCol w:w="1576"/>
        <w:gridCol w:w="1300"/>
        <w:gridCol w:w="1300"/>
        <w:gridCol w:w="1480"/>
        <w:gridCol w:w="1300"/>
        <w:gridCol w:w="1680"/>
      </w:tblGrid>
      <w:tr w:rsidR="00AC0DFB" w:rsidRPr="00AC0DFB" w14:paraId="3EEE46E9" w14:textId="77777777" w:rsidTr="002101D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F26DD7A" w14:textId="6F0B7B2E" w:rsidR="00AC0DFB" w:rsidRPr="00AC0DFB" w:rsidRDefault="00AC0DFB" w:rsidP="00AC0DFB">
            <w:pPr>
              <w:jc w:val="center"/>
            </w:pPr>
            <w:r w:rsidRPr="00AC0DFB">
              <w:lastRenderedPageBreak/>
              <w:t>Period</w:t>
            </w:r>
          </w:p>
        </w:tc>
        <w:tc>
          <w:tcPr>
            <w:tcW w:w="1300" w:type="dxa"/>
            <w:noWrap/>
            <w:hideMark/>
          </w:tcPr>
          <w:p w14:paraId="510B671D" w14:textId="77777777" w:rsidR="00AC0DFB" w:rsidRPr="00AC0DFB" w:rsidRDefault="00AC0DFB" w:rsidP="00AC0DFB">
            <w:pPr>
              <w:jc w:val="center"/>
              <w:cnfStyle w:val="100000000000" w:firstRow="1" w:lastRow="0" w:firstColumn="0" w:lastColumn="0" w:oddVBand="0" w:evenVBand="0" w:oddHBand="0" w:evenHBand="0" w:firstRowFirstColumn="0" w:firstRowLastColumn="0" w:lastRowFirstColumn="0" w:lastRowLastColumn="0"/>
            </w:pPr>
            <w:r w:rsidRPr="00AC0DFB">
              <w:t>Temperature</w:t>
            </w:r>
          </w:p>
        </w:tc>
        <w:tc>
          <w:tcPr>
            <w:tcW w:w="1300" w:type="dxa"/>
            <w:noWrap/>
            <w:hideMark/>
          </w:tcPr>
          <w:p w14:paraId="3D7F9C8D" w14:textId="77777777" w:rsidR="00AC0DFB" w:rsidRPr="00AC0DFB" w:rsidRDefault="00AC0DFB" w:rsidP="00AC0DFB">
            <w:pPr>
              <w:jc w:val="center"/>
              <w:cnfStyle w:val="100000000000" w:firstRow="1" w:lastRow="0" w:firstColumn="0" w:lastColumn="0" w:oddVBand="0" w:evenVBand="0" w:oddHBand="0" w:evenHBand="0" w:firstRowFirstColumn="0" w:firstRowLastColumn="0" w:lastRowFirstColumn="0" w:lastRowLastColumn="0"/>
            </w:pPr>
            <w:r w:rsidRPr="00AC0DFB">
              <w:t>Interest Rate</w:t>
            </w:r>
          </w:p>
        </w:tc>
        <w:tc>
          <w:tcPr>
            <w:tcW w:w="1300" w:type="dxa"/>
            <w:noWrap/>
            <w:hideMark/>
          </w:tcPr>
          <w:p w14:paraId="63A59EF8" w14:textId="77777777" w:rsidR="00AC0DFB" w:rsidRPr="00AC0DFB" w:rsidRDefault="00AC0DFB" w:rsidP="00AC0DFB">
            <w:pPr>
              <w:jc w:val="center"/>
              <w:cnfStyle w:val="100000000000" w:firstRow="1" w:lastRow="0" w:firstColumn="0" w:lastColumn="0" w:oddVBand="0" w:evenVBand="0" w:oddHBand="0" w:evenHBand="0" w:firstRowFirstColumn="0" w:firstRowLastColumn="0" w:lastRowFirstColumn="0" w:lastRowLastColumn="0"/>
            </w:pPr>
            <w:r w:rsidRPr="00AC0DFB">
              <w:t>Storage</w:t>
            </w:r>
          </w:p>
        </w:tc>
        <w:tc>
          <w:tcPr>
            <w:tcW w:w="1480" w:type="dxa"/>
            <w:noWrap/>
            <w:hideMark/>
          </w:tcPr>
          <w:p w14:paraId="63D07073" w14:textId="77777777" w:rsidR="00AC0DFB" w:rsidRPr="00AC0DFB" w:rsidRDefault="00AC0DFB" w:rsidP="00AC0DFB">
            <w:pPr>
              <w:jc w:val="center"/>
              <w:cnfStyle w:val="100000000000" w:firstRow="1" w:lastRow="0" w:firstColumn="0" w:lastColumn="0" w:oddVBand="0" w:evenVBand="0" w:oddHBand="0" w:evenHBand="0" w:firstRowFirstColumn="0" w:firstRowLastColumn="0" w:lastRowFirstColumn="0" w:lastRowLastColumn="0"/>
            </w:pPr>
            <w:r w:rsidRPr="00AC0DFB">
              <w:t>Crude Oil Price</w:t>
            </w:r>
          </w:p>
        </w:tc>
        <w:tc>
          <w:tcPr>
            <w:tcW w:w="1300" w:type="dxa"/>
            <w:noWrap/>
            <w:hideMark/>
          </w:tcPr>
          <w:p w14:paraId="4E76DC3F" w14:textId="77777777" w:rsidR="00AC0DFB" w:rsidRPr="00AC0DFB" w:rsidRDefault="00AC0DFB" w:rsidP="00AC0DFB">
            <w:pPr>
              <w:jc w:val="center"/>
              <w:cnfStyle w:val="100000000000" w:firstRow="1" w:lastRow="0" w:firstColumn="0" w:lastColumn="0" w:oddVBand="0" w:evenVBand="0" w:oddHBand="0" w:evenHBand="0" w:firstRowFirstColumn="0" w:firstRowLastColumn="0" w:lastRowFirstColumn="0" w:lastRowLastColumn="0"/>
            </w:pPr>
            <w:r w:rsidRPr="00AC0DFB">
              <w:t>Coal Price</w:t>
            </w:r>
          </w:p>
        </w:tc>
        <w:tc>
          <w:tcPr>
            <w:tcW w:w="1680" w:type="dxa"/>
            <w:noWrap/>
            <w:hideMark/>
          </w:tcPr>
          <w:p w14:paraId="40EC2904" w14:textId="77777777" w:rsidR="00AC0DFB" w:rsidRPr="00AC0DFB" w:rsidRDefault="00AC0DFB" w:rsidP="00AC0DFB">
            <w:pPr>
              <w:jc w:val="center"/>
              <w:cnfStyle w:val="100000000000" w:firstRow="1" w:lastRow="0" w:firstColumn="0" w:lastColumn="0" w:oddVBand="0" w:evenVBand="0" w:oddHBand="0" w:evenHBand="0" w:firstRowFirstColumn="0" w:firstRowLastColumn="0" w:lastRowFirstColumn="0" w:lastRowLastColumn="0"/>
            </w:pPr>
            <w:r w:rsidRPr="00AC0DFB">
              <w:t>Natural Gas Price</w:t>
            </w:r>
          </w:p>
        </w:tc>
      </w:tr>
      <w:tr w:rsidR="004A3795" w:rsidRPr="00AC0DFB" w14:paraId="4F52527F" w14:textId="77777777" w:rsidTr="002101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62324EC" w14:textId="77777777" w:rsidR="00AC0DFB" w:rsidRPr="00AC0DFB" w:rsidRDefault="00AC0DFB" w:rsidP="00AC0DFB">
            <w:pPr>
              <w:jc w:val="center"/>
              <w:rPr>
                <w:b w:val="0"/>
                <w:color w:val="000000"/>
              </w:rPr>
            </w:pPr>
            <w:r w:rsidRPr="00AC0DFB">
              <w:rPr>
                <w:b w:val="0"/>
                <w:color w:val="000000"/>
              </w:rPr>
              <w:t>1</w:t>
            </w:r>
          </w:p>
        </w:tc>
        <w:tc>
          <w:tcPr>
            <w:tcW w:w="1300" w:type="dxa"/>
            <w:noWrap/>
            <w:hideMark/>
          </w:tcPr>
          <w:p w14:paraId="1D4C4821"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0.00</w:t>
            </w:r>
          </w:p>
        </w:tc>
        <w:tc>
          <w:tcPr>
            <w:tcW w:w="1300" w:type="dxa"/>
            <w:noWrap/>
            <w:hideMark/>
          </w:tcPr>
          <w:p w14:paraId="1277DE07"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0.37</w:t>
            </w:r>
          </w:p>
        </w:tc>
        <w:tc>
          <w:tcPr>
            <w:tcW w:w="1300" w:type="dxa"/>
            <w:noWrap/>
            <w:hideMark/>
          </w:tcPr>
          <w:p w14:paraId="1B8D6353"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0.02</w:t>
            </w:r>
          </w:p>
        </w:tc>
        <w:tc>
          <w:tcPr>
            <w:tcW w:w="1480" w:type="dxa"/>
            <w:noWrap/>
            <w:hideMark/>
          </w:tcPr>
          <w:p w14:paraId="1A282426"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16.88</w:t>
            </w:r>
          </w:p>
        </w:tc>
        <w:tc>
          <w:tcPr>
            <w:tcW w:w="1300" w:type="dxa"/>
            <w:noWrap/>
            <w:hideMark/>
          </w:tcPr>
          <w:p w14:paraId="10FF73BD"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72.60</w:t>
            </w:r>
          </w:p>
        </w:tc>
        <w:tc>
          <w:tcPr>
            <w:tcW w:w="1680" w:type="dxa"/>
            <w:noWrap/>
            <w:hideMark/>
          </w:tcPr>
          <w:p w14:paraId="3307DA66"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10.13</w:t>
            </w:r>
          </w:p>
        </w:tc>
      </w:tr>
      <w:tr w:rsidR="00AC0DFB" w:rsidRPr="00AC0DFB" w14:paraId="304311EC" w14:textId="77777777" w:rsidTr="002101D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433AB01" w14:textId="77777777" w:rsidR="00AC0DFB" w:rsidRPr="00AC0DFB" w:rsidRDefault="00AC0DFB" w:rsidP="00AC0DFB">
            <w:pPr>
              <w:jc w:val="center"/>
              <w:rPr>
                <w:b w:val="0"/>
                <w:color w:val="000000"/>
              </w:rPr>
            </w:pPr>
            <w:r w:rsidRPr="00AC0DFB">
              <w:rPr>
                <w:b w:val="0"/>
                <w:color w:val="000000"/>
              </w:rPr>
              <w:t>2</w:t>
            </w:r>
          </w:p>
        </w:tc>
        <w:tc>
          <w:tcPr>
            <w:tcW w:w="1300" w:type="dxa"/>
            <w:noWrap/>
            <w:hideMark/>
          </w:tcPr>
          <w:p w14:paraId="6D34092C"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0.00</w:t>
            </w:r>
          </w:p>
        </w:tc>
        <w:tc>
          <w:tcPr>
            <w:tcW w:w="1300" w:type="dxa"/>
            <w:noWrap/>
            <w:hideMark/>
          </w:tcPr>
          <w:p w14:paraId="0050C597"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0.18</w:t>
            </w:r>
          </w:p>
        </w:tc>
        <w:tc>
          <w:tcPr>
            <w:tcW w:w="1300" w:type="dxa"/>
            <w:noWrap/>
            <w:hideMark/>
          </w:tcPr>
          <w:p w14:paraId="35B8D4D9"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0.02</w:t>
            </w:r>
          </w:p>
        </w:tc>
        <w:tc>
          <w:tcPr>
            <w:tcW w:w="1480" w:type="dxa"/>
            <w:noWrap/>
            <w:hideMark/>
          </w:tcPr>
          <w:p w14:paraId="0ECA5C02"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16.99</w:t>
            </w:r>
          </w:p>
        </w:tc>
        <w:tc>
          <w:tcPr>
            <w:tcW w:w="1300" w:type="dxa"/>
            <w:noWrap/>
            <w:hideMark/>
          </w:tcPr>
          <w:p w14:paraId="04386C0E"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72.79</w:t>
            </w:r>
          </w:p>
        </w:tc>
        <w:tc>
          <w:tcPr>
            <w:tcW w:w="1680" w:type="dxa"/>
            <w:noWrap/>
            <w:hideMark/>
          </w:tcPr>
          <w:p w14:paraId="039618D3"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10.03</w:t>
            </w:r>
          </w:p>
        </w:tc>
      </w:tr>
      <w:tr w:rsidR="004A3795" w:rsidRPr="00AC0DFB" w14:paraId="42F93606" w14:textId="77777777" w:rsidTr="002101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8135837" w14:textId="77777777" w:rsidR="00AC0DFB" w:rsidRPr="00AC0DFB" w:rsidRDefault="00AC0DFB" w:rsidP="00AC0DFB">
            <w:pPr>
              <w:jc w:val="center"/>
              <w:rPr>
                <w:b w:val="0"/>
                <w:color w:val="000000"/>
              </w:rPr>
            </w:pPr>
            <w:r w:rsidRPr="00AC0DFB">
              <w:rPr>
                <w:b w:val="0"/>
                <w:color w:val="000000"/>
              </w:rPr>
              <w:t>4</w:t>
            </w:r>
          </w:p>
        </w:tc>
        <w:tc>
          <w:tcPr>
            <w:tcW w:w="1300" w:type="dxa"/>
            <w:noWrap/>
            <w:hideMark/>
          </w:tcPr>
          <w:p w14:paraId="392BE26A"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0.00</w:t>
            </w:r>
          </w:p>
        </w:tc>
        <w:tc>
          <w:tcPr>
            <w:tcW w:w="1300" w:type="dxa"/>
            <w:noWrap/>
            <w:hideMark/>
          </w:tcPr>
          <w:p w14:paraId="6399CB55"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0.14</w:t>
            </w:r>
          </w:p>
        </w:tc>
        <w:tc>
          <w:tcPr>
            <w:tcW w:w="1300" w:type="dxa"/>
            <w:noWrap/>
            <w:hideMark/>
          </w:tcPr>
          <w:p w14:paraId="1E1A5904"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0.02</w:t>
            </w:r>
          </w:p>
        </w:tc>
        <w:tc>
          <w:tcPr>
            <w:tcW w:w="1480" w:type="dxa"/>
            <w:noWrap/>
            <w:hideMark/>
          </w:tcPr>
          <w:p w14:paraId="73D5BFD3"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17.04</w:t>
            </w:r>
          </w:p>
        </w:tc>
        <w:tc>
          <w:tcPr>
            <w:tcW w:w="1300" w:type="dxa"/>
            <w:noWrap/>
            <w:hideMark/>
          </w:tcPr>
          <w:p w14:paraId="6A2CE588"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72.84</w:t>
            </w:r>
          </w:p>
        </w:tc>
        <w:tc>
          <w:tcPr>
            <w:tcW w:w="1680" w:type="dxa"/>
            <w:noWrap/>
            <w:hideMark/>
          </w:tcPr>
          <w:p w14:paraId="576E7130"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9.97</w:t>
            </w:r>
          </w:p>
        </w:tc>
      </w:tr>
      <w:tr w:rsidR="00AC0DFB" w:rsidRPr="00AC0DFB" w14:paraId="1BBAD4A1" w14:textId="77777777" w:rsidTr="002101D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D9A5A1F" w14:textId="77777777" w:rsidR="00AC0DFB" w:rsidRPr="00AC0DFB" w:rsidRDefault="00AC0DFB" w:rsidP="00AC0DFB">
            <w:pPr>
              <w:jc w:val="center"/>
              <w:rPr>
                <w:b w:val="0"/>
                <w:color w:val="000000"/>
              </w:rPr>
            </w:pPr>
            <w:r w:rsidRPr="00AC0DFB">
              <w:rPr>
                <w:b w:val="0"/>
                <w:color w:val="000000"/>
              </w:rPr>
              <w:t>12</w:t>
            </w:r>
          </w:p>
        </w:tc>
        <w:tc>
          <w:tcPr>
            <w:tcW w:w="1300" w:type="dxa"/>
            <w:noWrap/>
            <w:hideMark/>
          </w:tcPr>
          <w:p w14:paraId="55803E36"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0.00</w:t>
            </w:r>
          </w:p>
        </w:tc>
        <w:tc>
          <w:tcPr>
            <w:tcW w:w="1300" w:type="dxa"/>
            <w:noWrap/>
            <w:hideMark/>
          </w:tcPr>
          <w:p w14:paraId="33DF8DA3"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0.32</w:t>
            </w:r>
          </w:p>
        </w:tc>
        <w:tc>
          <w:tcPr>
            <w:tcW w:w="1300" w:type="dxa"/>
            <w:noWrap/>
            <w:hideMark/>
          </w:tcPr>
          <w:p w14:paraId="22496EE6"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0.01</w:t>
            </w:r>
          </w:p>
        </w:tc>
        <w:tc>
          <w:tcPr>
            <w:tcW w:w="1480" w:type="dxa"/>
            <w:noWrap/>
            <w:hideMark/>
          </w:tcPr>
          <w:p w14:paraId="7630285F"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17.00</w:t>
            </w:r>
          </w:p>
        </w:tc>
        <w:tc>
          <w:tcPr>
            <w:tcW w:w="1300" w:type="dxa"/>
            <w:noWrap/>
            <w:hideMark/>
          </w:tcPr>
          <w:p w14:paraId="3089B4E8"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72.83</w:t>
            </w:r>
          </w:p>
        </w:tc>
        <w:tc>
          <w:tcPr>
            <w:tcW w:w="1680" w:type="dxa"/>
            <w:noWrap/>
            <w:hideMark/>
          </w:tcPr>
          <w:p w14:paraId="2DEDED71"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9.84</w:t>
            </w:r>
          </w:p>
        </w:tc>
      </w:tr>
      <w:tr w:rsidR="004A3795" w:rsidRPr="00AC0DFB" w14:paraId="4E135CE5" w14:textId="77777777" w:rsidTr="002101D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97BF063" w14:textId="77777777" w:rsidR="00AC0DFB" w:rsidRPr="00AC0DFB" w:rsidRDefault="00AC0DFB" w:rsidP="00AC0DFB">
            <w:pPr>
              <w:jc w:val="center"/>
              <w:rPr>
                <w:b w:val="0"/>
                <w:color w:val="000000"/>
              </w:rPr>
            </w:pPr>
            <w:r w:rsidRPr="00AC0DFB">
              <w:rPr>
                <w:b w:val="0"/>
                <w:color w:val="000000"/>
              </w:rPr>
              <w:t>26</w:t>
            </w:r>
          </w:p>
        </w:tc>
        <w:tc>
          <w:tcPr>
            <w:tcW w:w="1300" w:type="dxa"/>
            <w:noWrap/>
            <w:hideMark/>
          </w:tcPr>
          <w:p w14:paraId="52C2063E"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0.00</w:t>
            </w:r>
          </w:p>
        </w:tc>
        <w:tc>
          <w:tcPr>
            <w:tcW w:w="1300" w:type="dxa"/>
            <w:noWrap/>
            <w:hideMark/>
          </w:tcPr>
          <w:p w14:paraId="78765129"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0.37</w:t>
            </w:r>
          </w:p>
        </w:tc>
        <w:tc>
          <w:tcPr>
            <w:tcW w:w="1300" w:type="dxa"/>
            <w:noWrap/>
            <w:hideMark/>
          </w:tcPr>
          <w:p w14:paraId="6E148D86"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0.01</w:t>
            </w:r>
          </w:p>
        </w:tc>
        <w:tc>
          <w:tcPr>
            <w:tcW w:w="1480" w:type="dxa"/>
            <w:noWrap/>
            <w:hideMark/>
          </w:tcPr>
          <w:p w14:paraId="258642CB"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17.19</w:t>
            </w:r>
          </w:p>
        </w:tc>
        <w:tc>
          <w:tcPr>
            <w:tcW w:w="1300" w:type="dxa"/>
            <w:noWrap/>
            <w:hideMark/>
          </w:tcPr>
          <w:p w14:paraId="2ABD3BFD"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72.68</w:t>
            </w:r>
          </w:p>
        </w:tc>
        <w:tc>
          <w:tcPr>
            <w:tcW w:w="1680" w:type="dxa"/>
            <w:noWrap/>
            <w:hideMark/>
          </w:tcPr>
          <w:p w14:paraId="38B3355F" w14:textId="77777777" w:rsidR="00AC0DFB" w:rsidRPr="00AC0DFB" w:rsidRDefault="00AC0DFB" w:rsidP="00AC0DFB">
            <w:pPr>
              <w:jc w:val="center"/>
              <w:cnfStyle w:val="000000100000" w:firstRow="0" w:lastRow="0" w:firstColumn="0" w:lastColumn="0" w:oddVBand="0" w:evenVBand="0" w:oddHBand="1" w:evenHBand="0" w:firstRowFirstColumn="0" w:firstRowLastColumn="0" w:lastRowFirstColumn="0" w:lastRowLastColumn="0"/>
              <w:rPr>
                <w:color w:val="000000"/>
              </w:rPr>
            </w:pPr>
            <w:r w:rsidRPr="00AC0DFB">
              <w:rPr>
                <w:color w:val="000000"/>
              </w:rPr>
              <w:t>9.75</w:t>
            </w:r>
          </w:p>
        </w:tc>
      </w:tr>
      <w:tr w:rsidR="00AC0DFB" w:rsidRPr="00AC0DFB" w14:paraId="290D1F74" w14:textId="77777777" w:rsidTr="002101D3">
        <w:trPr>
          <w:trHeight w:val="320"/>
        </w:trPr>
        <w:tc>
          <w:tcPr>
            <w:cnfStyle w:val="001000000000" w:firstRow="0" w:lastRow="0" w:firstColumn="1" w:lastColumn="0" w:oddVBand="0" w:evenVBand="0" w:oddHBand="0" w:evenHBand="0" w:firstRowFirstColumn="0" w:firstRowLastColumn="0" w:lastRowFirstColumn="0" w:lastRowLastColumn="0"/>
            <w:tcW w:w="1300" w:type="dxa"/>
            <w:noWrap/>
            <w:hideMark/>
          </w:tcPr>
          <w:p w14:paraId="57DF9FCC" w14:textId="77777777" w:rsidR="00AC0DFB" w:rsidRPr="00AC0DFB" w:rsidRDefault="00AC0DFB" w:rsidP="00AC0DFB">
            <w:pPr>
              <w:jc w:val="center"/>
              <w:rPr>
                <w:b w:val="0"/>
                <w:color w:val="000000"/>
              </w:rPr>
            </w:pPr>
            <w:r w:rsidRPr="00AC0DFB">
              <w:rPr>
                <w:b w:val="0"/>
                <w:color w:val="000000"/>
              </w:rPr>
              <w:t>52</w:t>
            </w:r>
          </w:p>
        </w:tc>
        <w:tc>
          <w:tcPr>
            <w:tcW w:w="1300" w:type="dxa"/>
            <w:noWrap/>
            <w:hideMark/>
          </w:tcPr>
          <w:p w14:paraId="39023073"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0.00</w:t>
            </w:r>
          </w:p>
        </w:tc>
        <w:tc>
          <w:tcPr>
            <w:tcW w:w="1300" w:type="dxa"/>
            <w:noWrap/>
            <w:hideMark/>
          </w:tcPr>
          <w:p w14:paraId="24096F5D"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0.40</w:t>
            </w:r>
          </w:p>
        </w:tc>
        <w:tc>
          <w:tcPr>
            <w:tcW w:w="1300" w:type="dxa"/>
            <w:noWrap/>
            <w:hideMark/>
          </w:tcPr>
          <w:p w14:paraId="1902167C"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0.01</w:t>
            </w:r>
          </w:p>
        </w:tc>
        <w:tc>
          <w:tcPr>
            <w:tcW w:w="1480" w:type="dxa"/>
            <w:noWrap/>
            <w:hideMark/>
          </w:tcPr>
          <w:p w14:paraId="00254268"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17.37</w:t>
            </w:r>
          </w:p>
        </w:tc>
        <w:tc>
          <w:tcPr>
            <w:tcW w:w="1300" w:type="dxa"/>
            <w:noWrap/>
            <w:hideMark/>
          </w:tcPr>
          <w:p w14:paraId="30713B77"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72.50</w:t>
            </w:r>
          </w:p>
        </w:tc>
        <w:tc>
          <w:tcPr>
            <w:tcW w:w="1680" w:type="dxa"/>
            <w:noWrap/>
            <w:hideMark/>
          </w:tcPr>
          <w:p w14:paraId="03031A1B" w14:textId="77777777" w:rsidR="00AC0DFB" w:rsidRPr="00AC0DFB" w:rsidRDefault="00AC0DFB" w:rsidP="00AC0DFB">
            <w:pPr>
              <w:jc w:val="center"/>
              <w:cnfStyle w:val="000000000000" w:firstRow="0" w:lastRow="0" w:firstColumn="0" w:lastColumn="0" w:oddVBand="0" w:evenVBand="0" w:oddHBand="0" w:evenHBand="0" w:firstRowFirstColumn="0" w:firstRowLastColumn="0" w:lastRowFirstColumn="0" w:lastRowLastColumn="0"/>
              <w:rPr>
                <w:color w:val="000000"/>
              </w:rPr>
            </w:pPr>
            <w:r w:rsidRPr="00AC0DFB">
              <w:rPr>
                <w:color w:val="000000"/>
              </w:rPr>
              <w:t>9.72</w:t>
            </w:r>
          </w:p>
        </w:tc>
      </w:tr>
    </w:tbl>
    <w:p w14:paraId="67F21DEE" w14:textId="780E06BA" w:rsidR="00FC341C" w:rsidRDefault="000B1E20" w:rsidP="000B1E20">
      <w:pPr>
        <w:spacing w:line="480" w:lineRule="auto"/>
        <w:jc w:val="both"/>
        <w:rPr>
          <w:rFonts w:ascii="Times" w:hAnsi="Times"/>
        </w:rPr>
      </w:pPr>
      <w:r w:rsidRPr="000B1E20">
        <w:rPr>
          <w:rFonts w:ascii="Times" w:hAnsi="Times"/>
          <w:i/>
        </w:rPr>
        <w:t>Notes</w:t>
      </w:r>
      <w:r>
        <w:rPr>
          <w:rFonts w:ascii="Times" w:hAnsi="Times"/>
        </w:rPr>
        <w:t>: values are expressed in percentages</w:t>
      </w:r>
    </w:p>
    <w:p w14:paraId="3281DC60" w14:textId="1FA9438C" w:rsidR="00C1178E" w:rsidRDefault="000B1E20" w:rsidP="007E5DC9">
      <w:pPr>
        <w:spacing w:line="480" w:lineRule="auto"/>
        <w:ind w:firstLine="720"/>
        <w:jc w:val="both"/>
        <w:rPr>
          <w:rFonts w:ascii="Times" w:hAnsi="Times"/>
        </w:rPr>
      </w:pPr>
      <w:r>
        <w:rPr>
          <w:rFonts w:ascii="Times" w:hAnsi="Times"/>
        </w:rPr>
        <w:t xml:space="preserve">Temperature and storage deviations unexpectedly have no explanatory power on the price formulation of natural gas. However, the forecast errors of gas prices can be explained more precisely by developments related to coal and oil markets. Coal price variations have the most impact on natural gas price variability, with maximum explanatory power in short-term horizons (4 to 12 weeks). Long-term natural gas price development (up to 52 weeks) is heavily affected by variations in oil prices. </w:t>
      </w:r>
      <w:r w:rsidR="00B06023">
        <w:rPr>
          <w:rFonts w:ascii="Times" w:hAnsi="Times"/>
        </w:rPr>
        <w:t xml:space="preserve">Coal and crude oil prices account for about 90% of the gas price variance with a forecast horizon of half a year. </w:t>
      </w:r>
    </w:p>
    <w:p w14:paraId="3B910F87" w14:textId="77777777" w:rsidR="009C63F6" w:rsidRDefault="009C63F6" w:rsidP="007E5DC9">
      <w:pPr>
        <w:spacing w:line="480" w:lineRule="auto"/>
        <w:ind w:firstLine="720"/>
        <w:jc w:val="both"/>
        <w:rPr>
          <w:rFonts w:ascii="Times" w:hAnsi="Times"/>
        </w:rPr>
      </w:pPr>
    </w:p>
    <w:p w14:paraId="510A4EDD" w14:textId="7D26063A" w:rsidR="00B06023" w:rsidRDefault="00B06023" w:rsidP="00C1178E">
      <w:pPr>
        <w:pStyle w:val="Heading2"/>
        <w:rPr>
          <w:rFonts w:ascii="Times New Roman" w:hAnsi="Times New Roman" w:cs="Times New Roman"/>
          <w:b/>
        </w:rPr>
      </w:pPr>
      <w:r w:rsidRPr="00C1178E">
        <w:rPr>
          <w:rFonts w:ascii="Times New Roman" w:hAnsi="Times New Roman" w:cs="Times New Roman"/>
          <w:b/>
        </w:rPr>
        <w:t>Markov Switching</w:t>
      </w:r>
    </w:p>
    <w:p w14:paraId="36C9E0D9" w14:textId="77777777" w:rsidR="00C1178E" w:rsidRPr="00C1178E" w:rsidRDefault="00C1178E" w:rsidP="00C1178E"/>
    <w:p w14:paraId="77F62F4E" w14:textId="73227DE6" w:rsidR="00B06023" w:rsidRDefault="005C0C5C" w:rsidP="003B65EE">
      <w:pPr>
        <w:spacing w:line="480" w:lineRule="auto"/>
        <w:ind w:firstLine="720"/>
        <w:jc w:val="both"/>
        <w:rPr>
          <w:rFonts w:ascii="Times" w:hAnsi="Times"/>
        </w:rPr>
      </w:pPr>
      <w:r>
        <w:rPr>
          <w:rFonts w:ascii="Times" w:hAnsi="Times"/>
        </w:rPr>
        <w:t xml:space="preserve">Having identified coal prices to have the most explanatory power on natural gas price development, I run </w:t>
      </w:r>
      <w:r w:rsidR="00A10250">
        <w:rPr>
          <w:rFonts w:ascii="Times" w:hAnsi="Times"/>
        </w:rPr>
        <w:t xml:space="preserve">a </w:t>
      </w:r>
      <w:r>
        <w:rPr>
          <w:rFonts w:ascii="Times" w:hAnsi="Times"/>
        </w:rPr>
        <w:t xml:space="preserve">Markov process to ascertain </w:t>
      </w:r>
      <w:r w:rsidR="00D91A73">
        <w:rPr>
          <w:rFonts w:ascii="Times" w:hAnsi="Times"/>
        </w:rPr>
        <w:t>gas price regime changes</w:t>
      </w:r>
      <w:r>
        <w:rPr>
          <w:rFonts w:ascii="Times" w:hAnsi="Times"/>
        </w:rPr>
        <w:t xml:space="preserve"> as explained by coal price variability. Coal prices are </w:t>
      </w:r>
      <w:r w:rsidR="00D91A73">
        <w:rPr>
          <w:rFonts w:ascii="Times" w:hAnsi="Times"/>
        </w:rPr>
        <w:t xml:space="preserve">the </w:t>
      </w:r>
      <w:r>
        <w:rPr>
          <w:rFonts w:ascii="Times" w:hAnsi="Times"/>
        </w:rPr>
        <w:t>first difference to obtain stationarity</w:t>
      </w:r>
      <w:r w:rsidR="00D91A73">
        <w:rPr>
          <w:rFonts w:ascii="Times" w:hAnsi="Times"/>
        </w:rPr>
        <w:t>,</w:t>
      </w:r>
      <w:r>
        <w:rPr>
          <w:rFonts w:ascii="Times" w:hAnsi="Times"/>
        </w:rPr>
        <w:t xml:space="preserve"> while natural gas price series are stationary at </w:t>
      </w:r>
      <w:r w:rsidR="00D91A73">
        <w:rPr>
          <w:rFonts w:ascii="Times" w:hAnsi="Times"/>
        </w:rPr>
        <w:t xml:space="preserve">the </w:t>
      </w:r>
      <w:r>
        <w:rPr>
          <w:rFonts w:ascii="Times" w:hAnsi="Times"/>
        </w:rPr>
        <w:t>level.</w:t>
      </w:r>
      <w:r w:rsidRPr="005C0C5C">
        <w:rPr>
          <w:rFonts w:ascii="Times" w:hAnsi="Times"/>
          <w:vertAlign w:val="superscript"/>
        </w:rPr>
        <w:t xml:space="preserve"> </w:t>
      </w:r>
      <w:r w:rsidRPr="005C0C5C">
        <w:rPr>
          <w:rStyle w:val="FootnoteReference"/>
          <w:rFonts w:ascii="Times" w:hAnsi="Times"/>
          <w:sz w:val="32"/>
          <w:szCs w:val="32"/>
        </w:rPr>
        <w:footnoteReference w:id="4"/>
      </w:r>
      <w:r w:rsidR="005C7C31">
        <w:rPr>
          <w:rFonts w:ascii="Times" w:hAnsi="Times"/>
          <w:sz w:val="32"/>
          <w:szCs w:val="32"/>
        </w:rPr>
        <w:t xml:space="preserve"> </w:t>
      </w:r>
      <w:r w:rsidR="004A3795">
        <w:rPr>
          <w:rFonts w:ascii="Times" w:hAnsi="Times"/>
        </w:rPr>
        <w:t xml:space="preserve">I identify a </w:t>
      </w:r>
      <w:r w:rsidR="00D91A73">
        <w:rPr>
          <w:rFonts w:ascii="Times" w:hAnsi="Times"/>
        </w:rPr>
        <w:t>three-state</w:t>
      </w:r>
      <w:r w:rsidR="004A3795">
        <w:rPr>
          <w:rFonts w:ascii="Times" w:hAnsi="Times"/>
        </w:rPr>
        <w:t xml:space="preserve"> Markov switching process </w:t>
      </w:r>
      <w:r w:rsidR="009055B2">
        <w:rPr>
          <w:rFonts w:ascii="Times" w:hAnsi="Times"/>
        </w:rPr>
        <w:t>for</w:t>
      </w:r>
      <w:r w:rsidR="004A3795">
        <w:rPr>
          <w:rFonts w:ascii="Times" w:hAnsi="Times"/>
        </w:rPr>
        <w:t xml:space="preserve"> the interaction between natural gas and coal prices</w:t>
      </w:r>
      <w:r w:rsidR="00D91A73">
        <w:rPr>
          <w:rFonts w:ascii="Times" w:hAnsi="Times"/>
        </w:rPr>
        <w:t>,</w:t>
      </w:r>
      <w:r w:rsidR="004A3795">
        <w:rPr>
          <w:rFonts w:ascii="Times" w:hAnsi="Times"/>
        </w:rPr>
        <w:t xml:space="preserve"> as presented in Table 4.</w:t>
      </w:r>
    </w:p>
    <w:p w14:paraId="76D5D191" w14:textId="470D7453" w:rsidR="009055B2" w:rsidRDefault="009055B2" w:rsidP="003B65EE">
      <w:pPr>
        <w:spacing w:line="480" w:lineRule="auto"/>
        <w:ind w:firstLine="720"/>
        <w:jc w:val="both"/>
        <w:rPr>
          <w:rFonts w:ascii="Times" w:hAnsi="Times"/>
        </w:rPr>
      </w:pPr>
    </w:p>
    <w:p w14:paraId="6A347C86" w14:textId="77777777" w:rsidR="009C63F6" w:rsidRPr="004A3795" w:rsidRDefault="009C63F6" w:rsidP="003B65EE">
      <w:pPr>
        <w:spacing w:line="480" w:lineRule="auto"/>
        <w:ind w:firstLine="720"/>
        <w:jc w:val="both"/>
        <w:rPr>
          <w:rFonts w:ascii="Times" w:hAnsi="Times"/>
        </w:rPr>
      </w:pPr>
    </w:p>
    <w:p w14:paraId="7384881A" w14:textId="39AACAB2" w:rsidR="004A3795" w:rsidRPr="004A3795" w:rsidRDefault="004A3795" w:rsidP="00B06023">
      <w:pPr>
        <w:spacing w:line="480" w:lineRule="auto"/>
        <w:jc w:val="both"/>
        <w:rPr>
          <w:rFonts w:ascii="Times" w:hAnsi="Times"/>
        </w:rPr>
      </w:pPr>
      <w:r w:rsidRPr="004A3795">
        <w:rPr>
          <w:rFonts w:ascii="Times" w:hAnsi="Times"/>
        </w:rPr>
        <w:lastRenderedPageBreak/>
        <w:t xml:space="preserve">Table 4: Three state Markov switching </w:t>
      </w:r>
      <w:r w:rsidR="009055B2">
        <w:rPr>
          <w:rFonts w:ascii="Times" w:hAnsi="Times"/>
        </w:rPr>
        <w:t>regression</w:t>
      </w:r>
      <w:r w:rsidRPr="004A3795">
        <w:rPr>
          <w:rFonts w:ascii="Times" w:hAnsi="Times"/>
        </w:rPr>
        <w:t xml:space="preserve"> for gas and coal price interactions</w:t>
      </w:r>
    </w:p>
    <w:tbl>
      <w:tblPr>
        <w:tblStyle w:val="PlainTable2"/>
        <w:tblW w:w="8459" w:type="dxa"/>
        <w:tblLook w:val="04A0" w:firstRow="1" w:lastRow="0" w:firstColumn="1" w:lastColumn="0" w:noHBand="0" w:noVBand="1"/>
      </w:tblPr>
      <w:tblGrid>
        <w:gridCol w:w="2261"/>
        <w:gridCol w:w="1581"/>
        <w:gridCol w:w="1539"/>
        <w:gridCol w:w="1539"/>
        <w:gridCol w:w="1539"/>
      </w:tblGrid>
      <w:tr w:rsidR="004A3795" w:rsidRPr="004A3795" w14:paraId="010AA422" w14:textId="77777777" w:rsidTr="007E5DC9">
        <w:trPr>
          <w:cnfStyle w:val="100000000000" w:firstRow="1" w:lastRow="0" w:firstColumn="0" w:lastColumn="0" w:oddVBand="0" w:evenVBand="0" w:oddHBand="0"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4FBCC54F" w14:textId="77777777" w:rsidR="004A3795" w:rsidRPr="004A3795" w:rsidRDefault="004A3795" w:rsidP="004A3795">
            <w:pPr>
              <w:jc w:val="center"/>
              <w:rPr>
                <w:color w:val="000000"/>
              </w:rPr>
            </w:pPr>
            <w:r w:rsidRPr="004A3795">
              <w:rPr>
                <w:color w:val="000000"/>
              </w:rPr>
              <w:t>Variable</w:t>
            </w:r>
          </w:p>
        </w:tc>
        <w:tc>
          <w:tcPr>
            <w:tcW w:w="1581" w:type="dxa"/>
            <w:noWrap/>
            <w:hideMark/>
          </w:tcPr>
          <w:p w14:paraId="17EA4C41" w14:textId="77777777" w:rsidR="004A3795" w:rsidRPr="004A3795" w:rsidRDefault="004A3795" w:rsidP="004A3795">
            <w:pPr>
              <w:jc w:val="cente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Coefficient</w:t>
            </w:r>
          </w:p>
        </w:tc>
        <w:tc>
          <w:tcPr>
            <w:tcW w:w="1539" w:type="dxa"/>
            <w:noWrap/>
            <w:hideMark/>
          </w:tcPr>
          <w:p w14:paraId="127C2A50" w14:textId="77777777" w:rsidR="004A3795" w:rsidRPr="004A3795" w:rsidRDefault="004A3795" w:rsidP="004A3795">
            <w:pPr>
              <w:jc w:val="cente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Std. Error</w:t>
            </w:r>
          </w:p>
        </w:tc>
        <w:tc>
          <w:tcPr>
            <w:tcW w:w="1539" w:type="dxa"/>
            <w:noWrap/>
            <w:hideMark/>
          </w:tcPr>
          <w:p w14:paraId="40700A97" w14:textId="77777777" w:rsidR="004A3795" w:rsidRPr="004A3795" w:rsidRDefault="004A3795" w:rsidP="004A3795">
            <w:pPr>
              <w:jc w:val="cente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z-Statistic</w:t>
            </w:r>
          </w:p>
        </w:tc>
        <w:tc>
          <w:tcPr>
            <w:tcW w:w="1539" w:type="dxa"/>
            <w:noWrap/>
            <w:hideMark/>
          </w:tcPr>
          <w:p w14:paraId="2553204B" w14:textId="1000D592" w:rsidR="004A3795" w:rsidRPr="004A3795" w:rsidRDefault="004A3795" w:rsidP="004A3795">
            <w:pPr>
              <w:jc w:val="center"/>
              <w:cnfStyle w:val="100000000000" w:firstRow="1" w:lastRow="0" w:firstColumn="0" w:lastColumn="0" w:oddVBand="0" w:evenVBand="0" w:oddHBand="0" w:evenHBand="0" w:firstRowFirstColumn="0" w:firstRowLastColumn="0" w:lastRowFirstColumn="0" w:lastRowLastColumn="0"/>
              <w:rPr>
                <w:color w:val="000000"/>
              </w:rPr>
            </w:pPr>
            <w:r w:rsidRPr="004A3795">
              <w:rPr>
                <w:color w:val="000000"/>
              </w:rPr>
              <w:t>Prob</w:t>
            </w:r>
            <w:r>
              <w:rPr>
                <w:color w:val="000000"/>
              </w:rPr>
              <w:t>ability</w:t>
            </w:r>
          </w:p>
        </w:tc>
      </w:tr>
      <w:tr w:rsidR="004A3795" w:rsidRPr="004A3795" w14:paraId="21B17E19" w14:textId="77777777" w:rsidTr="007E5DC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34676216" w14:textId="77777777" w:rsidR="004A3795" w:rsidRPr="004A3795" w:rsidRDefault="004A3795" w:rsidP="004A3795">
            <w:pPr>
              <w:rPr>
                <w:color w:val="000000"/>
              </w:rPr>
            </w:pPr>
            <w:r w:rsidRPr="004A3795">
              <w:rPr>
                <w:color w:val="000000"/>
              </w:rPr>
              <w:t>Regime 1</w:t>
            </w:r>
          </w:p>
        </w:tc>
        <w:tc>
          <w:tcPr>
            <w:tcW w:w="1581" w:type="dxa"/>
            <w:noWrap/>
            <w:hideMark/>
          </w:tcPr>
          <w:p w14:paraId="7D2AB6D6"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539" w:type="dxa"/>
            <w:noWrap/>
            <w:hideMark/>
          </w:tcPr>
          <w:p w14:paraId="6AB52F91"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pPr>
          </w:p>
        </w:tc>
        <w:tc>
          <w:tcPr>
            <w:tcW w:w="1539" w:type="dxa"/>
            <w:noWrap/>
            <w:hideMark/>
          </w:tcPr>
          <w:p w14:paraId="43EEC962"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pPr>
          </w:p>
        </w:tc>
        <w:tc>
          <w:tcPr>
            <w:tcW w:w="1539" w:type="dxa"/>
            <w:noWrap/>
            <w:hideMark/>
          </w:tcPr>
          <w:p w14:paraId="3AB08A2C"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pPr>
          </w:p>
        </w:tc>
      </w:tr>
      <w:tr w:rsidR="004A3795" w:rsidRPr="004A3795" w14:paraId="56145F53" w14:textId="77777777" w:rsidTr="007E5DC9">
        <w:trPr>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7B5A54DE" w14:textId="77777777" w:rsidR="004A3795" w:rsidRPr="004A3795" w:rsidRDefault="004A3795" w:rsidP="004A3795">
            <w:pPr>
              <w:jc w:val="center"/>
              <w:rPr>
                <w:b w:val="0"/>
                <w:color w:val="000000"/>
              </w:rPr>
            </w:pPr>
            <w:r w:rsidRPr="004A3795">
              <w:rPr>
                <w:b w:val="0"/>
                <w:color w:val="000000"/>
              </w:rPr>
              <w:t>C</w:t>
            </w:r>
          </w:p>
        </w:tc>
        <w:tc>
          <w:tcPr>
            <w:tcW w:w="1581" w:type="dxa"/>
            <w:noWrap/>
            <w:hideMark/>
          </w:tcPr>
          <w:p w14:paraId="5376CC99"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2.72055</w:t>
            </w:r>
          </w:p>
        </w:tc>
        <w:tc>
          <w:tcPr>
            <w:tcW w:w="1539" w:type="dxa"/>
            <w:noWrap/>
            <w:hideMark/>
          </w:tcPr>
          <w:p w14:paraId="0F93DE7B"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0.03006</w:t>
            </w:r>
          </w:p>
        </w:tc>
        <w:tc>
          <w:tcPr>
            <w:tcW w:w="1539" w:type="dxa"/>
            <w:noWrap/>
            <w:hideMark/>
          </w:tcPr>
          <w:p w14:paraId="36CAC071"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90.50647</w:t>
            </w:r>
          </w:p>
        </w:tc>
        <w:tc>
          <w:tcPr>
            <w:tcW w:w="1539" w:type="dxa"/>
            <w:noWrap/>
            <w:hideMark/>
          </w:tcPr>
          <w:p w14:paraId="1B458BE4"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0.00000</w:t>
            </w:r>
          </w:p>
        </w:tc>
      </w:tr>
      <w:tr w:rsidR="004A3795" w:rsidRPr="004A3795" w14:paraId="3C55C91C" w14:textId="77777777" w:rsidTr="007E5DC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6699E784" w14:textId="33A182D5" w:rsidR="004A3795" w:rsidRPr="004A3795" w:rsidRDefault="004A3795" w:rsidP="004A3795">
            <w:pPr>
              <w:jc w:val="center"/>
              <w:rPr>
                <w:b w:val="0"/>
                <w:color w:val="000000"/>
              </w:rPr>
            </w:pPr>
            <w:r w:rsidRPr="004A3795">
              <w:rPr>
                <w:b w:val="0"/>
                <w:color w:val="000000"/>
              </w:rPr>
              <w:t>D(COALPR)</w:t>
            </w:r>
          </w:p>
        </w:tc>
        <w:tc>
          <w:tcPr>
            <w:tcW w:w="1581" w:type="dxa"/>
            <w:noWrap/>
            <w:hideMark/>
          </w:tcPr>
          <w:p w14:paraId="3953902A"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0.20023</w:t>
            </w:r>
          </w:p>
        </w:tc>
        <w:tc>
          <w:tcPr>
            <w:tcW w:w="1539" w:type="dxa"/>
            <w:noWrap/>
            <w:hideMark/>
          </w:tcPr>
          <w:p w14:paraId="55CE7399"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0.06242</w:t>
            </w:r>
          </w:p>
        </w:tc>
        <w:tc>
          <w:tcPr>
            <w:tcW w:w="1539" w:type="dxa"/>
            <w:noWrap/>
            <w:hideMark/>
          </w:tcPr>
          <w:p w14:paraId="6C359457"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3.20756</w:t>
            </w:r>
          </w:p>
        </w:tc>
        <w:tc>
          <w:tcPr>
            <w:tcW w:w="1539" w:type="dxa"/>
            <w:noWrap/>
            <w:hideMark/>
          </w:tcPr>
          <w:p w14:paraId="5E88ACB0"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0.00130</w:t>
            </w:r>
          </w:p>
        </w:tc>
      </w:tr>
      <w:tr w:rsidR="004A3795" w:rsidRPr="004A3795" w14:paraId="580A3314" w14:textId="77777777" w:rsidTr="007E5DC9">
        <w:trPr>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3D087B1F" w14:textId="77777777" w:rsidR="004A3795" w:rsidRPr="004A3795" w:rsidRDefault="004A3795" w:rsidP="004A3795">
            <w:pPr>
              <w:rPr>
                <w:color w:val="000000"/>
              </w:rPr>
            </w:pPr>
            <w:r w:rsidRPr="004A3795">
              <w:rPr>
                <w:color w:val="000000"/>
              </w:rPr>
              <w:t>Regime 2</w:t>
            </w:r>
          </w:p>
        </w:tc>
        <w:tc>
          <w:tcPr>
            <w:tcW w:w="1581" w:type="dxa"/>
            <w:noWrap/>
            <w:hideMark/>
          </w:tcPr>
          <w:p w14:paraId="09682DBB"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539" w:type="dxa"/>
            <w:noWrap/>
            <w:hideMark/>
          </w:tcPr>
          <w:p w14:paraId="7CAF0DC3"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pPr>
          </w:p>
        </w:tc>
        <w:tc>
          <w:tcPr>
            <w:tcW w:w="1539" w:type="dxa"/>
            <w:noWrap/>
            <w:hideMark/>
          </w:tcPr>
          <w:p w14:paraId="62AFDFD5"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pPr>
          </w:p>
        </w:tc>
        <w:tc>
          <w:tcPr>
            <w:tcW w:w="1539" w:type="dxa"/>
            <w:noWrap/>
            <w:hideMark/>
          </w:tcPr>
          <w:p w14:paraId="102AE119"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pPr>
          </w:p>
        </w:tc>
      </w:tr>
      <w:tr w:rsidR="004A3795" w:rsidRPr="004A3795" w14:paraId="1A21F9CF" w14:textId="77777777" w:rsidTr="007E5DC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7A8BA982" w14:textId="77777777" w:rsidR="004A3795" w:rsidRPr="004A3795" w:rsidRDefault="004A3795" w:rsidP="004A3795">
            <w:pPr>
              <w:jc w:val="center"/>
              <w:rPr>
                <w:b w:val="0"/>
                <w:color w:val="000000"/>
              </w:rPr>
            </w:pPr>
            <w:r w:rsidRPr="004A3795">
              <w:rPr>
                <w:b w:val="0"/>
                <w:color w:val="000000"/>
              </w:rPr>
              <w:t>C</w:t>
            </w:r>
          </w:p>
        </w:tc>
        <w:tc>
          <w:tcPr>
            <w:tcW w:w="1581" w:type="dxa"/>
            <w:noWrap/>
            <w:hideMark/>
          </w:tcPr>
          <w:p w14:paraId="5AF2D8EF"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3.85925</w:t>
            </w:r>
          </w:p>
        </w:tc>
        <w:tc>
          <w:tcPr>
            <w:tcW w:w="1539" w:type="dxa"/>
            <w:noWrap/>
            <w:hideMark/>
          </w:tcPr>
          <w:p w14:paraId="31793AA4"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0.04661</w:t>
            </w:r>
          </w:p>
        </w:tc>
        <w:tc>
          <w:tcPr>
            <w:tcW w:w="1539" w:type="dxa"/>
            <w:noWrap/>
            <w:hideMark/>
          </w:tcPr>
          <w:p w14:paraId="12CB7C0C"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82.80654</w:t>
            </w:r>
          </w:p>
        </w:tc>
        <w:tc>
          <w:tcPr>
            <w:tcW w:w="1539" w:type="dxa"/>
            <w:noWrap/>
            <w:hideMark/>
          </w:tcPr>
          <w:p w14:paraId="2362A35D"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0.00000</w:t>
            </w:r>
          </w:p>
        </w:tc>
      </w:tr>
      <w:tr w:rsidR="004A3795" w:rsidRPr="004A3795" w14:paraId="6C66C9D0" w14:textId="77777777" w:rsidTr="007E5DC9">
        <w:trPr>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24793791" w14:textId="5FE7CC7C" w:rsidR="004A3795" w:rsidRPr="004A3795" w:rsidRDefault="004A3795" w:rsidP="004A3795">
            <w:pPr>
              <w:jc w:val="center"/>
              <w:rPr>
                <w:b w:val="0"/>
                <w:color w:val="000000"/>
              </w:rPr>
            </w:pPr>
            <w:r w:rsidRPr="004A3795">
              <w:rPr>
                <w:b w:val="0"/>
                <w:color w:val="000000"/>
              </w:rPr>
              <w:t>D(COALPR)</w:t>
            </w:r>
          </w:p>
        </w:tc>
        <w:tc>
          <w:tcPr>
            <w:tcW w:w="1581" w:type="dxa"/>
            <w:noWrap/>
            <w:hideMark/>
          </w:tcPr>
          <w:p w14:paraId="59558672"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0.20015</w:t>
            </w:r>
          </w:p>
        </w:tc>
        <w:tc>
          <w:tcPr>
            <w:tcW w:w="1539" w:type="dxa"/>
            <w:noWrap/>
            <w:hideMark/>
          </w:tcPr>
          <w:p w14:paraId="4113BC46"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0.10493</w:t>
            </w:r>
          </w:p>
        </w:tc>
        <w:tc>
          <w:tcPr>
            <w:tcW w:w="1539" w:type="dxa"/>
            <w:noWrap/>
            <w:hideMark/>
          </w:tcPr>
          <w:p w14:paraId="2D2AA2BF"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1.90754</w:t>
            </w:r>
          </w:p>
        </w:tc>
        <w:tc>
          <w:tcPr>
            <w:tcW w:w="1539" w:type="dxa"/>
            <w:noWrap/>
            <w:hideMark/>
          </w:tcPr>
          <w:p w14:paraId="57B240A4"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0.05650</w:t>
            </w:r>
          </w:p>
        </w:tc>
      </w:tr>
      <w:tr w:rsidR="004A3795" w:rsidRPr="004A3795" w14:paraId="3A07540D" w14:textId="77777777" w:rsidTr="007E5DC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52D8AAD7" w14:textId="77777777" w:rsidR="004A3795" w:rsidRPr="004A3795" w:rsidRDefault="004A3795" w:rsidP="004A3795">
            <w:pPr>
              <w:rPr>
                <w:color w:val="000000"/>
              </w:rPr>
            </w:pPr>
            <w:r w:rsidRPr="004A3795">
              <w:rPr>
                <w:color w:val="000000"/>
              </w:rPr>
              <w:t>Regime 3</w:t>
            </w:r>
          </w:p>
        </w:tc>
        <w:tc>
          <w:tcPr>
            <w:tcW w:w="1581" w:type="dxa"/>
            <w:noWrap/>
            <w:hideMark/>
          </w:tcPr>
          <w:p w14:paraId="5D1ED9CA"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539" w:type="dxa"/>
            <w:noWrap/>
            <w:hideMark/>
          </w:tcPr>
          <w:p w14:paraId="0395F281"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pPr>
          </w:p>
        </w:tc>
        <w:tc>
          <w:tcPr>
            <w:tcW w:w="1539" w:type="dxa"/>
            <w:noWrap/>
            <w:hideMark/>
          </w:tcPr>
          <w:p w14:paraId="2A84E35B"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pPr>
          </w:p>
        </w:tc>
        <w:tc>
          <w:tcPr>
            <w:tcW w:w="1539" w:type="dxa"/>
            <w:noWrap/>
            <w:hideMark/>
          </w:tcPr>
          <w:p w14:paraId="4712DF24"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pPr>
          </w:p>
        </w:tc>
      </w:tr>
      <w:tr w:rsidR="004A3795" w:rsidRPr="004A3795" w14:paraId="673CD899" w14:textId="77777777" w:rsidTr="007E5DC9">
        <w:trPr>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2F5DA777" w14:textId="77777777" w:rsidR="004A3795" w:rsidRPr="004A3795" w:rsidRDefault="004A3795" w:rsidP="004A3795">
            <w:pPr>
              <w:jc w:val="center"/>
              <w:rPr>
                <w:b w:val="0"/>
                <w:color w:val="000000"/>
              </w:rPr>
            </w:pPr>
            <w:r w:rsidRPr="004A3795">
              <w:rPr>
                <w:b w:val="0"/>
                <w:color w:val="000000"/>
              </w:rPr>
              <w:t>C</w:t>
            </w:r>
          </w:p>
        </w:tc>
        <w:tc>
          <w:tcPr>
            <w:tcW w:w="1581" w:type="dxa"/>
            <w:noWrap/>
            <w:hideMark/>
          </w:tcPr>
          <w:p w14:paraId="36EE55E0"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4.96656</w:t>
            </w:r>
          </w:p>
        </w:tc>
        <w:tc>
          <w:tcPr>
            <w:tcW w:w="1539" w:type="dxa"/>
            <w:noWrap/>
            <w:hideMark/>
          </w:tcPr>
          <w:p w14:paraId="70613D73"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0.10550</w:t>
            </w:r>
          </w:p>
        </w:tc>
        <w:tc>
          <w:tcPr>
            <w:tcW w:w="1539" w:type="dxa"/>
            <w:noWrap/>
            <w:hideMark/>
          </w:tcPr>
          <w:p w14:paraId="5D7F6521"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47.07560</w:t>
            </w:r>
          </w:p>
        </w:tc>
        <w:tc>
          <w:tcPr>
            <w:tcW w:w="1539" w:type="dxa"/>
            <w:noWrap/>
            <w:hideMark/>
          </w:tcPr>
          <w:p w14:paraId="7B5782AB"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r w:rsidRPr="004A3795">
              <w:rPr>
                <w:color w:val="000000"/>
              </w:rPr>
              <w:t>0.00000</w:t>
            </w:r>
          </w:p>
        </w:tc>
      </w:tr>
      <w:tr w:rsidR="004A3795" w:rsidRPr="004A3795" w14:paraId="22B2D090" w14:textId="77777777" w:rsidTr="007E5DC9">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244E56CD" w14:textId="46CD46FE" w:rsidR="004A3795" w:rsidRPr="004A3795" w:rsidRDefault="004A3795" w:rsidP="004A3795">
            <w:pPr>
              <w:jc w:val="center"/>
              <w:rPr>
                <w:b w:val="0"/>
                <w:color w:val="000000"/>
              </w:rPr>
            </w:pPr>
            <w:r w:rsidRPr="004A3795">
              <w:rPr>
                <w:b w:val="0"/>
                <w:color w:val="000000"/>
              </w:rPr>
              <w:t>D(COALPR)</w:t>
            </w:r>
          </w:p>
        </w:tc>
        <w:tc>
          <w:tcPr>
            <w:tcW w:w="1581" w:type="dxa"/>
            <w:noWrap/>
            <w:hideMark/>
          </w:tcPr>
          <w:p w14:paraId="6C64BB8E"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0.09762</w:t>
            </w:r>
          </w:p>
        </w:tc>
        <w:tc>
          <w:tcPr>
            <w:tcW w:w="1539" w:type="dxa"/>
            <w:noWrap/>
            <w:hideMark/>
          </w:tcPr>
          <w:p w14:paraId="6F7C228E"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0.18518</w:t>
            </w:r>
          </w:p>
        </w:tc>
        <w:tc>
          <w:tcPr>
            <w:tcW w:w="1539" w:type="dxa"/>
            <w:noWrap/>
            <w:hideMark/>
          </w:tcPr>
          <w:p w14:paraId="0846980D"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0.52716</w:t>
            </w:r>
          </w:p>
        </w:tc>
        <w:tc>
          <w:tcPr>
            <w:tcW w:w="1539" w:type="dxa"/>
            <w:noWrap/>
            <w:hideMark/>
          </w:tcPr>
          <w:p w14:paraId="1743E4F2"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0.59810</w:t>
            </w:r>
          </w:p>
        </w:tc>
      </w:tr>
      <w:tr w:rsidR="004A3795" w:rsidRPr="004A3795" w14:paraId="3F242CF4" w14:textId="77777777" w:rsidTr="007E5DC9">
        <w:trPr>
          <w:trHeight w:val="306"/>
        </w:trPr>
        <w:tc>
          <w:tcPr>
            <w:cnfStyle w:val="001000000000" w:firstRow="0" w:lastRow="0" w:firstColumn="1" w:lastColumn="0" w:oddVBand="0" w:evenVBand="0" w:oddHBand="0" w:evenHBand="0" w:firstRowFirstColumn="0" w:firstRowLastColumn="0" w:lastRowFirstColumn="0" w:lastRowLastColumn="0"/>
            <w:tcW w:w="2261" w:type="dxa"/>
            <w:noWrap/>
            <w:hideMark/>
          </w:tcPr>
          <w:p w14:paraId="78E062E7" w14:textId="77777777" w:rsidR="004A3795" w:rsidRPr="004A3795" w:rsidRDefault="004A3795" w:rsidP="004A3795">
            <w:pPr>
              <w:rPr>
                <w:color w:val="000000"/>
              </w:rPr>
            </w:pPr>
            <w:r w:rsidRPr="004A3795">
              <w:rPr>
                <w:color w:val="000000"/>
              </w:rPr>
              <w:t>Common</w:t>
            </w:r>
          </w:p>
        </w:tc>
        <w:tc>
          <w:tcPr>
            <w:tcW w:w="1581" w:type="dxa"/>
            <w:noWrap/>
            <w:hideMark/>
          </w:tcPr>
          <w:p w14:paraId="533F32F3"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539" w:type="dxa"/>
            <w:noWrap/>
            <w:hideMark/>
          </w:tcPr>
          <w:p w14:paraId="3A927802"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pPr>
          </w:p>
        </w:tc>
        <w:tc>
          <w:tcPr>
            <w:tcW w:w="1539" w:type="dxa"/>
            <w:noWrap/>
            <w:hideMark/>
          </w:tcPr>
          <w:p w14:paraId="2012B580"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pPr>
          </w:p>
        </w:tc>
        <w:tc>
          <w:tcPr>
            <w:tcW w:w="1539" w:type="dxa"/>
            <w:noWrap/>
            <w:hideMark/>
          </w:tcPr>
          <w:p w14:paraId="08C9C200" w14:textId="77777777" w:rsidR="004A3795" w:rsidRPr="004A3795" w:rsidRDefault="004A3795" w:rsidP="004A3795">
            <w:pPr>
              <w:jc w:val="center"/>
              <w:cnfStyle w:val="000000000000" w:firstRow="0" w:lastRow="0" w:firstColumn="0" w:lastColumn="0" w:oddVBand="0" w:evenVBand="0" w:oddHBand="0" w:evenHBand="0" w:firstRowFirstColumn="0" w:firstRowLastColumn="0" w:lastRowFirstColumn="0" w:lastRowLastColumn="0"/>
            </w:pPr>
          </w:p>
        </w:tc>
      </w:tr>
      <w:tr w:rsidR="004A3795" w:rsidRPr="004A3795" w14:paraId="69722581" w14:textId="77777777" w:rsidTr="007E5DC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1" w:type="dxa"/>
            <w:noWrap/>
            <w:hideMark/>
          </w:tcPr>
          <w:p w14:paraId="1DD3A787" w14:textId="77777777" w:rsidR="004A3795" w:rsidRPr="004A3795" w:rsidRDefault="004A3795" w:rsidP="004A3795">
            <w:pPr>
              <w:jc w:val="center"/>
              <w:rPr>
                <w:b w:val="0"/>
                <w:color w:val="000000"/>
              </w:rPr>
            </w:pPr>
            <w:r w:rsidRPr="004A3795">
              <w:rPr>
                <w:b w:val="0"/>
                <w:color w:val="000000"/>
              </w:rPr>
              <w:t>LOG(SIGMA)</w:t>
            </w:r>
          </w:p>
        </w:tc>
        <w:tc>
          <w:tcPr>
            <w:tcW w:w="1581" w:type="dxa"/>
            <w:noWrap/>
            <w:hideMark/>
          </w:tcPr>
          <w:p w14:paraId="5BCE9F53"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-0.90061</w:t>
            </w:r>
          </w:p>
        </w:tc>
        <w:tc>
          <w:tcPr>
            <w:tcW w:w="1539" w:type="dxa"/>
            <w:noWrap/>
            <w:hideMark/>
          </w:tcPr>
          <w:p w14:paraId="20C31AF8"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0.03500</w:t>
            </w:r>
          </w:p>
        </w:tc>
        <w:tc>
          <w:tcPr>
            <w:tcW w:w="1539" w:type="dxa"/>
            <w:noWrap/>
            <w:hideMark/>
          </w:tcPr>
          <w:p w14:paraId="77EE55C9"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-25.73061</w:t>
            </w:r>
          </w:p>
        </w:tc>
        <w:tc>
          <w:tcPr>
            <w:tcW w:w="1539" w:type="dxa"/>
            <w:noWrap/>
            <w:hideMark/>
          </w:tcPr>
          <w:p w14:paraId="0D5DFAFB" w14:textId="77777777" w:rsidR="004A3795" w:rsidRPr="004A3795" w:rsidRDefault="004A3795" w:rsidP="004A3795">
            <w:pPr>
              <w:jc w:val="center"/>
              <w:cnfStyle w:val="000000100000" w:firstRow="0" w:lastRow="0" w:firstColumn="0" w:lastColumn="0" w:oddVBand="0" w:evenVBand="0" w:oddHBand="1" w:evenHBand="0" w:firstRowFirstColumn="0" w:firstRowLastColumn="0" w:lastRowFirstColumn="0" w:lastRowLastColumn="0"/>
              <w:rPr>
                <w:color w:val="000000"/>
              </w:rPr>
            </w:pPr>
            <w:r w:rsidRPr="004A3795">
              <w:rPr>
                <w:color w:val="000000"/>
              </w:rPr>
              <w:t>0.00000</w:t>
            </w:r>
          </w:p>
        </w:tc>
      </w:tr>
    </w:tbl>
    <w:p w14:paraId="5407A564" w14:textId="0D44CD47" w:rsidR="000B1E20" w:rsidRDefault="004A3795" w:rsidP="000B1E20">
      <w:pPr>
        <w:spacing w:line="480" w:lineRule="auto"/>
        <w:jc w:val="both"/>
        <w:rPr>
          <w:rFonts w:ascii="Times" w:hAnsi="Times"/>
        </w:rPr>
      </w:pPr>
      <w:r w:rsidRPr="004A3795">
        <w:rPr>
          <w:rFonts w:ascii="Times" w:hAnsi="Times"/>
          <w:i/>
        </w:rPr>
        <w:t>Notes</w:t>
      </w:r>
      <w:r>
        <w:rPr>
          <w:rFonts w:ascii="Times" w:hAnsi="Times"/>
        </w:rPr>
        <w:t xml:space="preserve">: Dependent variable is </w:t>
      </w:r>
      <w:r w:rsidR="00D91A73">
        <w:rPr>
          <w:rFonts w:ascii="Times" w:hAnsi="Times"/>
        </w:rPr>
        <w:t xml:space="preserve">the </w:t>
      </w:r>
      <w:r>
        <w:rPr>
          <w:rFonts w:ascii="Times" w:hAnsi="Times"/>
        </w:rPr>
        <w:t>natural gas price</w:t>
      </w:r>
    </w:p>
    <w:p w14:paraId="00BEF8F2" w14:textId="743637B2" w:rsidR="004A3795" w:rsidRDefault="00660024" w:rsidP="003B65EE">
      <w:pPr>
        <w:spacing w:line="480" w:lineRule="auto"/>
        <w:ind w:firstLine="720"/>
        <w:jc w:val="both"/>
        <w:rPr>
          <w:rFonts w:ascii="Times" w:hAnsi="Times"/>
        </w:rPr>
      </w:pPr>
      <w:r>
        <w:rPr>
          <w:rFonts w:ascii="Times" w:hAnsi="Times"/>
        </w:rPr>
        <w:t>As shown in Table 4, Regime 1 show</w:t>
      </w:r>
      <w:r w:rsidR="003B65EE">
        <w:rPr>
          <w:rFonts w:ascii="Times" w:hAnsi="Times"/>
        </w:rPr>
        <w:t>s</w:t>
      </w:r>
      <w:r>
        <w:rPr>
          <w:rFonts w:ascii="Times" w:hAnsi="Times"/>
        </w:rPr>
        <w:t xml:space="preserve"> a </w:t>
      </w:r>
      <w:r w:rsidR="00D91A73">
        <w:rPr>
          <w:rFonts w:ascii="Times" w:hAnsi="Times"/>
        </w:rPr>
        <w:t>robust</w:t>
      </w:r>
      <w:r>
        <w:rPr>
          <w:rFonts w:ascii="Times" w:hAnsi="Times"/>
        </w:rPr>
        <w:t xml:space="preserve"> positive co-movement between gas and coal prices. Regime 2</w:t>
      </w:r>
      <w:r w:rsidR="003B65EE">
        <w:rPr>
          <w:rFonts w:ascii="Times" w:hAnsi="Times"/>
        </w:rPr>
        <w:t xml:space="preserve"> (with a relatively moderate co-movement)</w:t>
      </w:r>
      <w:r>
        <w:rPr>
          <w:rFonts w:ascii="Times" w:hAnsi="Times"/>
        </w:rPr>
        <w:t xml:space="preserve"> </w:t>
      </w:r>
      <w:r w:rsidR="003B65EE">
        <w:rPr>
          <w:rFonts w:ascii="Times" w:hAnsi="Times"/>
        </w:rPr>
        <w:t>does show a discernable switch from Regime 1 as observed in the coefficients. Regime 3</w:t>
      </w:r>
      <w:r w:rsidR="00D91A73">
        <w:rPr>
          <w:rFonts w:ascii="Times" w:hAnsi="Times"/>
        </w:rPr>
        <w:t>,</w:t>
      </w:r>
      <w:r w:rsidR="003B65EE">
        <w:rPr>
          <w:rFonts w:ascii="Times" w:hAnsi="Times"/>
        </w:rPr>
        <w:t xml:space="preserve"> however, shows a weak co-movement. Explicitly, Regime 1 dominates the Markov process with a </w:t>
      </w:r>
      <w:r w:rsidR="00D91A73">
        <w:rPr>
          <w:rFonts w:ascii="Times" w:hAnsi="Times"/>
        </w:rPr>
        <w:t>constantly</w:t>
      </w:r>
      <w:r w:rsidR="003B65EE">
        <w:rPr>
          <w:rFonts w:ascii="Times" w:hAnsi="Times"/>
        </w:rPr>
        <w:t xml:space="preserve"> expected duration of 56 weeks which is longer tha</w:t>
      </w:r>
      <w:r w:rsidR="009055B2">
        <w:rPr>
          <w:rFonts w:ascii="Times" w:hAnsi="Times"/>
        </w:rPr>
        <w:t>n</w:t>
      </w:r>
      <w:r w:rsidR="003B65EE">
        <w:rPr>
          <w:rFonts w:ascii="Times" w:hAnsi="Times"/>
        </w:rPr>
        <w:t xml:space="preserve"> the 24 weeks duration for Regime 2</w:t>
      </w:r>
      <w:r w:rsidR="00D91A73">
        <w:rPr>
          <w:rFonts w:ascii="Times" w:hAnsi="Times"/>
        </w:rPr>
        <w:t>. The</w:t>
      </w:r>
      <w:r w:rsidR="003B65EE">
        <w:rPr>
          <w:rFonts w:ascii="Times" w:hAnsi="Times"/>
        </w:rPr>
        <w:t xml:space="preserve"> probability of remaining in that regime on any given day of 0.982 is the highest. </w:t>
      </w:r>
      <w:r w:rsidR="009055B2" w:rsidRPr="004014FB">
        <w:rPr>
          <w:rFonts w:ascii="Times" w:hAnsi="Times"/>
        </w:rPr>
        <w:t>See Appendix A3 for</w:t>
      </w:r>
      <w:r w:rsidR="009055B2">
        <w:rPr>
          <w:rFonts w:ascii="Times" w:hAnsi="Times"/>
        </w:rPr>
        <w:t xml:space="preserve"> </w:t>
      </w:r>
      <w:r w:rsidR="00D91A73">
        <w:rPr>
          <w:rFonts w:ascii="Times" w:hAnsi="Times"/>
        </w:rPr>
        <w:t xml:space="preserve">a </w:t>
      </w:r>
      <w:r w:rsidR="009055B2">
        <w:rPr>
          <w:rFonts w:ascii="Times" w:hAnsi="Times"/>
        </w:rPr>
        <w:t xml:space="preserve">detailed summary. The results mean that when there is a strong co-movement between natural gas and coal prices, one can expect it to last for a long as a year which </w:t>
      </w:r>
      <w:r w:rsidR="00D91A73">
        <w:rPr>
          <w:rFonts w:ascii="Times" w:hAnsi="Times"/>
        </w:rPr>
        <w:t xml:space="preserve">is </w:t>
      </w:r>
      <w:r w:rsidR="009055B2">
        <w:rPr>
          <w:rFonts w:ascii="Times" w:hAnsi="Times"/>
        </w:rPr>
        <w:t xml:space="preserve">a high probability. Displayed in Figure 3 are the filtered switching probabilities for the </w:t>
      </w:r>
      <w:r w:rsidR="00D91A73">
        <w:rPr>
          <w:rFonts w:ascii="Times" w:hAnsi="Times"/>
        </w:rPr>
        <w:t>Dominant</w:t>
      </w:r>
      <w:r w:rsidR="009055B2">
        <w:rPr>
          <w:rFonts w:ascii="Times" w:hAnsi="Times"/>
        </w:rPr>
        <w:t xml:space="preserve"> Regime 1.</w:t>
      </w:r>
    </w:p>
    <w:p w14:paraId="745A5D45" w14:textId="49B91208" w:rsidR="009055B2" w:rsidRDefault="009055B2" w:rsidP="009055B2">
      <w:pPr>
        <w:spacing w:line="480" w:lineRule="auto"/>
        <w:jc w:val="both"/>
        <w:rPr>
          <w:rFonts w:ascii="Times" w:hAnsi="Times"/>
        </w:rPr>
      </w:pPr>
    </w:p>
    <w:p w14:paraId="5BF5A162" w14:textId="793D1CB1" w:rsidR="009055B2" w:rsidRDefault="009055B2" w:rsidP="009055B2">
      <w:pPr>
        <w:spacing w:line="480" w:lineRule="auto"/>
        <w:jc w:val="both"/>
        <w:rPr>
          <w:rFonts w:ascii="Times" w:hAnsi="Times"/>
        </w:rPr>
      </w:pPr>
    </w:p>
    <w:p w14:paraId="3882A850" w14:textId="077FE234" w:rsidR="009055B2" w:rsidRDefault="009055B2" w:rsidP="009055B2">
      <w:pPr>
        <w:spacing w:line="480" w:lineRule="auto"/>
        <w:jc w:val="both"/>
        <w:rPr>
          <w:rFonts w:ascii="Times" w:hAnsi="Times"/>
        </w:rPr>
      </w:pPr>
    </w:p>
    <w:p w14:paraId="50158FE6" w14:textId="663E4E6F" w:rsidR="009055B2" w:rsidRDefault="009055B2" w:rsidP="009055B2">
      <w:pPr>
        <w:spacing w:line="480" w:lineRule="auto"/>
        <w:jc w:val="both"/>
        <w:rPr>
          <w:rFonts w:ascii="Times" w:hAnsi="Times"/>
        </w:rPr>
      </w:pPr>
    </w:p>
    <w:p w14:paraId="7F53D708" w14:textId="65F34EB9" w:rsidR="009055B2" w:rsidRDefault="009055B2" w:rsidP="009055B2">
      <w:pPr>
        <w:spacing w:line="480" w:lineRule="auto"/>
        <w:jc w:val="both"/>
        <w:rPr>
          <w:rFonts w:ascii="Times" w:hAnsi="Times"/>
        </w:rPr>
      </w:pPr>
      <w:r>
        <w:rPr>
          <w:rFonts w:ascii="Times" w:hAnsi="Times"/>
          <w:noProof/>
        </w:rPr>
        <w:lastRenderedPageBreak/>
        <w:drawing>
          <wp:inline distT="0" distB="0" distL="0" distR="0" wp14:anchorId="42200CC9" wp14:editId="794F9D0A">
            <wp:extent cx="5377758" cy="32688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ov.emf"/>
                    <pic:cNvPicPr/>
                  </pic:nvPicPr>
                  <pic:blipFill>
                    <a:blip r:embed="rId10">
                      <a:extLst>
                        <a:ext uri="{28A0092B-C50C-407E-A947-70E740481C1C}">
                          <a14:useLocalDpi xmlns:a14="http://schemas.microsoft.com/office/drawing/2010/main" val="0"/>
                        </a:ext>
                      </a:extLst>
                    </a:blip>
                    <a:stretch>
                      <a:fillRect/>
                    </a:stretch>
                  </pic:blipFill>
                  <pic:spPr>
                    <a:xfrm>
                      <a:off x="0" y="0"/>
                      <a:ext cx="5414724" cy="3291302"/>
                    </a:xfrm>
                    <a:prstGeom prst="rect">
                      <a:avLst/>
                    </a:prstGeom>
                  </pic:spPr>
                </pic:pic>
              </a:graphicData>
            </a:graphic>
          </wp:inline>
        </w:drawing>
      </w:r>
    </w:p>
    <w:p w14:paraId="4EEF2E5A" w14:textId="49E88ABB" w:rsidR="009055B2" w:rsidRDefault="009055B2" w:rsidP="009055B2">
      <w:pPr>
        <w:spacing w:line="480" w:lineRule="auto"/>
        <w:jc w:val="both"/>
        <w:rPr>
          <w:rFonts w:ascii="Times" w:hAnsi="Times"/>
        </w:rPr>
      </w:pPr>
      <w:r>
        <w:rPr>
          <w:rFonts w:ascii="Times" w:hAnsi="Times"/>
        </w:rPr>
        <w:t>Figure 3: Markov switching probabilities for Regime 1</w:t>
      </w:r>
    </w:p>
    <w:p w14:paraId="3F23B203" w14:textId="61249F17" w:rsidR="009055B2" w:rsidRDefault="009055B2" w:rsidP="007E5DC9">
      <w:pPr>
        <w:pStyle w:val="Heading1"/>
        <w:numPr>
          <w:ilvl w:val="0"/>
          <w:numId w:val="2"/>
        </w:numPr>
        <w:rPr>
          <w:rFonts w:ascii="Times New Roman" w:eastAsiaTheme="minorHAnsi" w:hAnsi="Times New Roman" w:cs="Times New Roman"/>
        </w:rPr>
      </w:pPr>
      <w:r w:rsidRPr="00C1178E">
        <w:rPr>
          <w:rFonts w:ascii="Times New Roman" w:eastAsiaTheme="minorHAnsi" w:hAnsi="Times New Roman" w:cs="Times New Roman"/>
        </w:rPr>
        <w:t>Conclusion</w:t>
      </w:r>
    </w:p>
    <w:p w14:paraId="54F81005" w14:textId="77777777" w:rsidR="00C1178E" w:rsidRPr="00C1178E" w:rsidRDefault="00C1178E" w:rsidP="00C1178E">
      <w:pPr>
        <w:rPr>
          <w:rFonts w:eastAsiaTheme="minorHAnsi"/>
          <w:lang w:bidi="en-US"/>
        </w:rPr>
      </w:pPr>
    </w:p>
    <w:p w14:paraId="5F485039" w14:textId="5B69C98A" w:rsidR="009055B2" w:rsidRDefault="009055B2" w:rsidP="009055B2">
      <w:pPr>
        <w:spacing w:line="480" w:lineRule="auto"/>
        <w:ind w:firstLine="720"/>
        <w:jc w:val="both"/>
        <w:rPr>
          <w:rFonts w:ascii="Times" w:hAnsi="Times"/>
        </w:rPr>
      </w:pPr>
      <w:r>
        <w:rPr>
          <w:rFonts w:ascii="Times" w:hAnsi="Times"/>
        </w:rPr>
        <w:t xml:space="preserve">Thus far, this paper has investigated the dynamic interaction between the fundamental variables within the </w:t>
      </w:r>
      <w:r w:rsidR="00D91A73">
        <w:rPr>
          <w:rFonts w:ascii="Times" w:hAnsi="Times"/>
        </w:rPr>
        <w:t>U.S.</w:t>
      </w:r>
      <w:r>
        <w:rPr>
          <w:rFonts w:ascii="Times" w:hAnsi="Times"/>
        </w:rPr>
        <w:t xml:space="preserve"> natural gas market. The analysis is conducted with structural VAR and Markov switching models. This approach allows me to disentangle the effects of different fundamental influences on natural gas prices. The empirical results reveal that abnormal temperatures affect natural gas prices in the </w:t>
      </w:r>
      <w:r w:rsidR="00D91A73">
        <w:rPr>
          <w:rFonts w:ascii="Times" w:hAnsi="Times"/>
        </w:rPr>
        <w:t>short term</w:t>
      </w:r>
      <w:r>
        <w:rPr>
          <w:rFonts w:ascii="Times" w:hAnsi="Times"/>
        </w:rPr>
        <w:t xml:space="preserve">. However, the price development of natural gas is closely tied to crude oil and coal prices </w:t>
      </w:r>
      <w:r w:rsidR="00D91A73">
        <w:rPr>
          <w:rFonts w:ascii="Times" w:hAnsi="Times"/>
        </w:rPr>
        <w:t>in the long term</w:t>
      </w:r>
      <w:r>
        <w:rPr>
          <w:rFonts w:ascii="Times" w:hAnsi="Times"/>
        </w:rPr>
        <w:t xml:space="preserve">, indicating the high importance of cross-commodity effects. I explicitly analyze the specific contribution of the main fundamental drivers of gas price formation within the period under study. I find that coal prices account for about 73% of the price variability of natural gas prices with a persistently strong regime switch. </w:t>
      </w:r>
    </w:p>
    <w:p w14:paraId="014CD83F" w14:textId="2874298A" w:rsidR="009055B2" w:rsidRPr="007E5DC9" w:rsidRDefault="009055B2" w:rsidP="009055B2">
      <w:pPr>
        <w:spacing w:line="480" w:lineRule="auto"/>
        <w:ind w:firstLine="720"/>
        <w:jc w:val="both"/>
        <w:rPr>
          <w:rFonts w:ascii="Times" w:hAnsi="Times"/>
        </w:rPr>
      </w:pPr>
      <w:r>
        <w:rPr>
          <w:rFonts w:ascii="Times" w:hAnsi="Times"/>
        </w:rPr>
        <w:t>The results of this research are relevant to storage operators, electricity producers</w:t>
      </w:r>
      <w:r w:rsidR="00D91A73">
        <w:rPr>
          <w:rFonts w:ascii="Times" w:hAnsi="Times"/>
        </w:rPr>
        <w:t>, and</w:t>
      </w:r>
      <w:r>
        <w:rPr>
          <w:rFonts w:ascii="Times" w:hAnsi="Times"/>
        </w:rPr>
        <w:t xml:space="preserve"> speculative investors in strategy formation and operations. </w:t>
      </w:r>
      <w:r w:rsidR="00D91A73">
        <w:rPr>
          <w:rFonts w:ascii="Times" w:hAnsi="Times"/>
        </w:rPr>
        <w:t>As</w:t>
      </w:r>
      <w:r>
        <w:rPr>
          <w:rFonts w:ascii="Times" w:hAnsi="Times"/>
        </w:rPr>
        <w:t xml:space="preserve"> the results of this research </w:t>
      </w:r>
      <w:r w:rsidR="00D91A73">
        <w:rPr>
          <w:rFonts w:ascii="Times" w:hAnsi="Times"/>
        </w:rPr>
        <w:t>are</w:t>
      </w:r>
      <w:r>
        <w:rPr>
          <w:rFonts w:ascii="Times" w:hAnsi="Times"/>
        </w:rPr>
        <w:t xml:space="preserve"> </w:t>
      </w:r>
      <w:r>
        <w:rPr>
          <w:rFonts w:ascii="Times" w:hAnsi="Times"/>
        </w:rPr>
        <w:lastRenderedPageBreak/>
        <w:t xml:space="preserve">compelling, it </w:t>
      </w:r>
      <w:r w:rsidRPr="007E5DC9">
        <w:rPr>
          <w:rFonts w:ascii="Times" w:hAnsi="Times"/>
        </w:rPr>
        <w:t>cannot be generalized as natural gas prices are mainly determined by regional supply, demand</w:t>
      </w:r>
      <w:r w:rsidR="00D91A73">
        <w:rPr>
          <w:rFonts w:ascii="Times" w:hAnsi="Times"/>
        </w:rPr>
        <w:t>,</w:t>
      </w:r>
      <w:r w:rsidRPr="007E5DC9">
        <w:rPr>
          <w:rFonts w:ascii="Times" w:hAnsi="Times"/>
        </w:rPr>
        <w:t xml:space="preserve"> and temperature variations</w:t>
      </w:r>
      <w:r w:rsidR="00ED2F58" w:rsidRPr="007E5DC9">
        <w:rPr>
          <w:rFonts w:ascii="Times" w:hAnsi="Times"/>
        </w:rPr>
        <w:t xml:space="preserve"> </w:t>
      </w:r>
      <w:r w:rsidR="004C0E76" w:rsidRPr="007E5DC9">
        <w:rPr>
          <w:rFonts w:ascii="Times" w:hAnsi="Times"/>
        </w:rPr>
        <w:t>(see</w:t>
      </w:r>
      <w:r w:rsidR="00D91A73">
        <w:rPr>
          <w:rFonts w:ascii="Times" w:hAnsi="Times"/>
        </w:rPr>
        <w:t>,</w:t>
      </w:r>
      <w:r w:rsidR="004C0E76" w:rsidRPr="007E5DC9">
        <w:rPr>
          <w:rFonts w:ascii="Times" w:hAnsi="Times"/>
        </w:rPr>
        <w:t xml:space="preserve"> for example</w:t>
      </w:r>
      <w:r w:rsidR="00D91A73">
        <w:rPr>
          <w:rFonts w:ascii="Times" w:hAnsi="Times"/>
        </w:rPr>
        <w:t>,</w:t>
      </w:r>
      <w:r w:rsidR="004C0E76" w:rsidRPr="007E5DC9">
        <w:rPr>
          <w:rFonts w:ascii="Times" w:hAnsi="Times"/>
        </w:rPr>
        <w:t xml:space="preserve"> Zhang and Ji, 2018)</w:t>
      </w:r>
      <w:r w:rsidRPr="007E5DC9">
        <w:rPr>
          <w:rFonts w:ascii="Times" w:hAnsi="Times"/>
        </w:rPr>
        <w:t>. The</w:t>
      </w:r>
      <w:r w:rsidR="00A10250" w:rsidRPr="007E5DC9">
        <w:rPr>
          <w:rFonts w:ascii="Times" w:hAnsi="Times"/>
        </w:rPr>
        <w:t xml:space="preserve"> </w:t>
      </w:r>
      <w:r w:rsidRPr="007E5DC9">
        <w:rPr>
          <w:rFonts w:ascii="Times" w:hAnsi="Times"/>
        </w:rPr>
        <w:t xml:space="preserve">approach provides an innovative framework for further research on more specific economic mechanisms within the </w:t>
      </w:r>
      <w:r w:rsidR="00D91A73">
        <w:rPr>
          <w:rFonts w:ascii="Times" w:hAnsi="Times"/>
        </w:rPr>
        <w:t>U.S.</w:t>
      </w:r>
      <w:r w:rsidRPr="007E5DC9">
        <w:rPr>
          <w:rFonts w:ascii="Times" w:hAnsi="Times"/>
        </w:rPr>
        <w:t xml:space="preserve"> gas market. Additionally, this model can be used to study other regions within the </w:t>
      </w:r>
      <w:r w:rsidR="00D91A73">
        <w:rPr>
          <w:rFonts w:ascii="Times" w:hAnsi="Times"/>
        </w:rPr>
        <w:t>U.S</w:t>
      </w:r>
      <w:r w:rsidRPr="007E5DC9">
        <w:rPr>
          <w:rFonts w:ascii="Times" w:hAnsi="Times"/>
        </w:rPr>
        <w:t xml:space="preserve">. The current application is still restricted by the limited data on certain variables used in this research. A future attempt will be made to generalize the findings for the entire </w:t>
      </w:r>
      <w:r w:rsidR="00D91A73">
        <w:rPr>
          <w:rFonts w:ascii="Times" w:hAnsi="Times"/>
        </w:rPr>
        <w:t>U.S.</w:t>
      </w:r>
      <w:r w:rsidRPr="007E5DC9">
        <w:rPr>
          <w:rFonts w:ascii="Times" w:hAnsi="Times"/>
        </w:rPr>
        <w:t xml:space="preserve"> gas market when more data become available.</w:t>
      </w:r>
    </w:p>
    <w:p w14:paraId="28D92A99" w14:textId="76394B89" w:rsidR="009055B2" w:rsidRDefault="009055B2" w:rsidP="009055B2">
      <w:pPr>
        <w:spacing w:line="480" w:lineRule="auto"/>
        <w:ind w:firstLine="720"/>
        <w:jc w:val="both"/>
        <w:rPr>
          <w:rFonts w:ascii="Times" w:hAnsi="Times"/>
        </w:rPr>
      </w:pPr>
    </w:p>
    <w:sdt>
      <w:sdtPr>
        <w:rPr>
          <w:rFonts w:ascii="Times New Roman" w:eastAsia="Times New Roman" w:hAnsi="Times New Roman" w:cs="Times New Roman"/>
          <w:b w:val="0"/>
          <w:bCs w:val="0"/>
          <w:color w:val="auto"/>
          <w:sz w:val="24"/>
          <w:szCs w:val="24"/>
          <w:lang w:bidi="ar-SA"/>
        </w:rPr>
        <w:id w:val="993763575"/>
        <w:docPartObj>
          <w:docPartGallery w:val="Bibliographies"/>
          <w:docPartUnique/>
        </w:docPartObj>
      </w:sdtPr>
      <w:sdtContent>
        <w:p w14:paraId="54F3C0D5" w14:textId="5C864929" w:rsidR="00ED2F58" w:rsidRDefault="009C63F6">
          <w:pPr>
            <w:pStyle w:val="Heading1"/>
          </w:pPr>
          <w:r>
            <w:t>References</w:t>
          </w:r>
        </w:p>
        <w:sdt>
          <w:sdtPr>
            <w:id w:val="111145805"/>
            <w:bibliography/>
          </w:sdtPr>
          <w:sdtContent>
            <w:p w14:paraId="5BCB13C6" w14:textId="77777777" w:rsidR="0016565C" w:rsidRDefault="00ED2F58" w:rsidP="0016565C">
              <w:pPr>
                <w:pStyle w:val="Bibliography"/>
                <w:ind w:left="720" w:hanging="720"/>
                <w:rPr>
                  <w:noProof/>
                </w:rPr>
              </w:pPr>
              <w:r>
                <w:fldChar w:fldCharType="begin"/>
              </w:r>
              <w:r>
                <w:instrText xml:space="preserve"> BIBLIOGRAPHY </w:instrText>
              </w:r>
              <w:r>
                <w:fldChar w:fldCharType="separate"/>
              </w:r>
              <w:r w:rsidR="0016565C">
                <w:rPr>
                  <w:noProof/>
                </w:rPr>
                <w:t xml:space="preserve">Arango, L. E., Arias, F., &amp; Florez, A. (2012). Determinants of commodity prices. </w:t>
              </w:r>
              <w:r w:rsidR="0016565C">
                <w:rPr>
                  <w:i/>
                  <w:iCs/>
                  <w:noProof/>
                </w:rPr>
                <w:t>Applied Economics, 44</w:t>
              </w:r>
              <w:r w:rsidR="0016565C">
                <w:rPr>
                  <w:noProof/>
                </w:rPr>
                <w:t>, 135-145.</w:t>
              </w:r>
            </w:p>
            <w:p w14:paraId="18C27C6E" w14:textId="77777777" w:rsidR="0016565C" w:rsidRDefault="0016565C" w:rsidP="0016565C">
              <w:pPr>
                <w:pStyle w:val="Bibliography"/>
                <w:ind w:left="720" w:hanging="720"/>
                <w:rPr>
                  <w:noProof/>
                </w:rPr>
              </w:pPr>
              <w:r>
                <w:rPr>
                  <w:noProof/>
                </w:rPr>
                <w:t xml:space="preserve">Brigida, M. (2014). The switching relationship between natural gas and crude oil prices. </w:t>
              </w:r>
              <w:r>
                <w:rPr>
                  <w:i/>
                  <w:iCs/>
                  <w:noProof/>
                </w:rPr>
                <w:t>Energy Economics</w:t>
              </w:r>
              <w:r>
                <w:rPr>
                  <w:noProof/>
                </w:rPr>
                <w:t>(43), 48-55.</w:t>
              </w:r>
            </w:p>
            <w:p w14:paraId="782C5835" w14:textId="77777777" w:rsidR="0016565C" w:rsidRDefault="0016565C" w:rsidP="0016565C">
              <w:pPr>
                <w:pStyle w:val="Bibliography"/>
                <w:ind w:left="720" w:hanging="720"/>
                <w:rPr>
                  <w:noProof/>
                </w:rPr>
              </w:pPr>
              <w:r>
                <w:rPr>
                  <w:noProof/>
                </w:rPr>
                <w:t xml:space="preserve">Brown, S. P., &amp; Yücel, M. K. (2008). What drives natural gas prices? </w:t>
              </w:r>
              <w:r>
                <w:rPr>
                  <w:i/>
                  <w:iCs/>
                  <w:noProof/>
                </w:rPr>
                <w:t>Energy Journal</w:t>
              </w:r>
              <w:r>
                <w:rPr>
                  <w:noProof/>
                </w:rPr>
                <w:t>(29), 45-60.</w:t>
              </w:r>
            </w:p>
            <w:p w14:paraId="5840D7B2" w14:textId="77777777" w:rsidR="0016565C" w:rsidRDefault="0016565C" w:rsidP="0016565C">
              <w:pPr>
                <w:pStyle w:val="Bibliography"/>
                <w:ind w:left="720" w:hanging="720"/>
                <w:rPr>
                  <w:noProof/>
                </w:rPr>
              </w:pPr>
              <w:r>
                <w:rPr>
                  <w:noProof/>
                </w:rPr>
                <w:t xml:space="preserve">Frankel, J. A. (1986). Expectations and commodity price dynamics: The overshooting model. </w:t>
              </w:r>
              <w:r>
                <w:rPr>
                  <w:i/>
                  <w:iCs/>
                  <w:noProof/>
                </w:rPr>
                <w:t>American Journal of Agricultural Economics, 68</w:t>
              </w:r>
              <w:r>
                <w:rPr>
                  <w:noProof/>
                </w:rPr>
                <w:t>(2), 344-348.</w:t>
              </w:r>
            </w:p>
            <w:p w14:paraId="4A9FBDFA" w14:textId="77777777" w:rsidR="0016565C" w:rsidRDefault="0016565C" w:rsidP="0016565C">
              <w:pPr>
                <w:pStyle w:val="Bibliography"/>
                <w:ind w:left="720" w:hanging="720"/>
                <w:rPr>
                  <w:noProof/>
                </w:rPr>
              </w:pPr>
              <w:r>
                <w:rPr>
                  <w:noProof/>
                </w:rPr>
                <w:t xml:space="preserve">Frankel, J. A. (2006). </w:t>
              </w:r>
              <w:r>
                <w:rPr>
                  <w:i/>
                  <w:iCs/>
                  <w:noProof/>
                </w:rPr>
                <w:t>The effects of monetary policy on real commodity prices.</w:t>
              </w:r>
              <w:r>
                <w:rPr>
                  <w:noProof/>
                </w:rPr>
                <w:t xml:space="preserve"> Cambridge, MA: National Bureau of Economic Research (NBER).</w:t>
              </w:r>
            </w:p>
            <w:p w14:paraId="6D47F264" w14:textId="620611F8" w:rsidR="0016565C" w:rsidRDefault="0016565C" w:rsidP="0016565C">
              <w:pPr>
                <w:pStyle w:val="Bibliography"/>
                <w:ind w:left="720" w:hanging="720"/>
                <w:rPr>
                  <w:noProof/>
                </w:rPr>
              </w:pPr>
              <w:r>
                <w:rPr>
                  <w:noProof/>
                </w:rPr>
                <w:t xml:space="preserve">Ghyssels, E., &amp; Marcellino, M. (2018). </w:t>
              </w:r>
              <w:r>
                <w:rPr>
                  <w:i/>
                  <w:iCs/>
                  <w:noProof/>
                </w:rPr>
                <w:t>Applied economic forecasting using time series methods.</w:t>
              </w:r>
              <w:r>
                <w:rPr>
                  <w:noProof/>
                </w:rPr>
                <w:t xml:space="preserve"> New York, NY, </w:t>
              </w:r>
              <w:r w:rsidR="00D91A73">
                <w:rPr>
                  <w:noProof/>
                </w:rPr>
                <w:t>U.S.</w:t>
              </w:r>
              <w:r>
                <w:rPr>
                  <w:noProof/>
                </w:rPr>
                <w:t>: Oxford University Press.</w:t>
              </w:r>
            </w:p>
            <w:p w14:paraId="7C2AC69C" w14:textId="77777777" w:rsidR="0016565C" w:rsidRDefault="0016565C" w:rsidP="0016565C">
              <w:pPr>
                <w:pStyle w:val="Bibliography"/>
                <w:ind w:left="720" w:hanging="720"/>
                <w:rPr>
                  <w:noProof/>
                </w:rPr>
              </w:pPr>
              <w:r>
                <w:rPr>
                  <w:noProof/>
                </w:rPr>
                <w:t xml:space="preserve">Hartley, P. R., &amp; Medlock, K. B. (2014). The relationaship between crude oil and natural gas prices: The role of the exchange rate. </w:t>
              </w:r>
              <w:r>
                <w:rPr>
                  <w:i/>
                  <w:iCs/>
                  <w:noProof/>
                </w:rPr>
                <w:t>Energy Journal</w:t>
              </w:r>
              <w:r>
                <w:rPr>
                  <w:noProof/>
                </w:rPr>
                <w:t>(35), 25-44.</w:t>
              </w:r>
            </w:p>
            <w:p w14:paraId="10123840" w14:textId="0D682119" w:rsidR="0016565C" w:rsidRDefault="0016565C" w:rsidP="0016565C">
              <w:pPr>
                <w:pStyle w:val="Bibliography"/>
                <w:ind w:left="720" w:hanging="720"/>
                <w:rPr>
                  <w:noProof/>
                </w:rPr>
              </w:pPr>
              <w:r>
                <w:rPr>
                  <w:noProof/>
                </w:rPr>
                <w:t xml:space="preserve">Hou, C., &amp; Nguyen, B. H. (2018). Understanding the </w:t>
              </w:r>
              <w:r w:rsidR="00D91A73">
                <w:rPr>
                  <w:noProof/>
                </w:rPr>
                <w:t>U.S.</w:t>
              </w:r>
              <w:r>
                <w:rPr>
                  <w:noProof/>
                </w:rPr>
                <w:t xml:space="preserve"> natural gas market: A Markov switchin</w:t>
              </w:r>
              <w:r w:rsidR="002101D3">
                <w:rPr>
                  <w:noProof/>
                </w:rPr>
                <w:t>g</w:t>
              </w:r>
              <w:r>
                <w:rPr>
                  <w:noProof/>
                </w:rPr>
                <w:t xml:space="preserve"> VAR approach. </w:t>
              </w:r>
              <w:r>
                <w:rPr>
                  <w:i/>
                  <w:iCs/>
                  <w:noProof/>
                </w:rPr>
                <w:t>CAMA Working Paper 14/2018</w:t>
              </w:r>
              <w:r>
                <w:rPr>
                  <w:noProof/>
                </w:rPr>
                <w:t>.</w:t>
              </w:r>
            </w:p>
            <w:p w14:paraId="2604A02E" w14:textId="66E195B9" w:rsidR="0016565C" w:rsidRDefault="0016565C" w:rsidP="0016565C">
              <w:pPr>
                <w:pStyle w:val="Bibliography"/>
                <w:ind w:left="720" w:hanging="720"/>
                <w:rPr>
                  <w:noProof/>
                </w:rPr>
              </w:pPr>
              <w:r>
                <w:rPr>
                  <w:noProof/>
                </w:rPr>
                <w:t xml:space="preserve">Jadidzadeh, A., &amp; Serletis, A. (2017). How does the </w:t>
              </w:r>
              <w:r w:rsidR="00D91A73">
                <w:rPr>
                  <w:noProof/>
                </w:rPr>
                <w:t>U.S.</w:t>
              </w:r>
              <w:r>
                <w:rPr>
                  <w:noProof/>
                </w:rPr>
                <w:t xml:space="preserve"> natural gas market react to demand and supply shocks in the crude oil market? </w:t>
              </w:r>
              <w:r>
                <w:rPr>
                  <w:i/>
                  <w:iCs/>
                  <w:noProof/>
                </w:rPr>
                <w:t>Energy Economics</w:t>
              </w:r>
              <w:r>
                <w:rPr>
                  <w:noProof/>
                </w:rPr>
                <w:t>(63), 66-74.</w:t>
              </w:r>
            </w:p>
            <w:p w14:paraId="1A81CFA4" w14:textId="77777777" w:rsidR="0016565C" w:rsidRDefault="0016565C" w:rsidP="0016565C">
              <w:pPr>
                <w:pStyle w:val="Bibliography"/>
                <w:ind w:left="720" w:hanging="720"/>
                <w:rPr>
                  <w:noProof/>
                </w:rPr>
              </w:pPr>
              <w:r>
                <w:rPr>
                  <w:noProof/>
                </w:rPr>
                <w:t xml:space="preserve">Pindyck, R. S. (2004). Volatility in natural gas and oil markets. </w:t>
              </w:r>
              <w:r>
                <w:rPr>
                  <w:i/>
                  <w:iCs/>
                  <w:noProof/>
                </w:rPr>
                <w:t>The Journal of Energy and Development, 30</w:t>
              </w:r>
              <w:r>
                <w:rPr>
                  <w:noProof/>
                </w:rPr>
                <w:t>(1), 1-19.</w:t>
              </w:r>
            </w:p>
            <w:p w14:paraId="010792A2" w14:textId="77777777" w:rsidR="0016565C" w:rsidRDefault="0016565C" w:rsidP="0016565C">
              <w:pPr>
                <w:pStyle w:val="Bibliography"/>
                <w:ind w:left="720" w:hanging="720"/>
                <w:rPr>
                  <w:noProof/>
                </w:rPr>
              </w:pPr>
              <w:r>
                <w:rPr>
                  <w:noProof/>
                </w:rPr>
                <w:t xml:space="preserve">Ramberg, D. J., &amp; Parsons, J. E. (2012). The weak tie between gas and oil prices. </w:t>
              </w:r>
              <w:r>
                <w:rPr>
                  <w:i/>
                  <w:iCs/>
                  <w:noProof/>
                </w:rPr>
                <w:t>The Energy Journal, 33</w:t>
              </w:r>
              <w:r>
                <w:rPr>
                  <w:noProof/>
                </w:rPr>
                <w:t>(2), 13-35.</w:t>
              </w:r>
            </w:p>
            <w:p w14:paraId="1A911257" w14:textId="77777777" w:rsidR="0016565C" w:rsidRDefault="0016565C" w:rsidP="0016565C">
              <w:pPr>
                <w:pStyle w:val="Bibliography"/>
                <w:ind w:left="720" w:hanging="720"/>
                <w:rPr>
                  <w:noProof/>
                </w:rPr>
              </w:pPr>
              <w:r>
                <w:rPr>
                  <w:noProof/>
                </w:rPr>
                <w:t xml:space="preserve">Sebastian, N., &amp; Stefan, T. (2013). What drives natural gas prices? - A Structural VAR Approach. </w:t>
              </w:r>
              <w:r>
                <w:rPr>
                  <w:i/>
                  <w:iCs/>
                  <w:noProof/>
                </w:rPr>
                <w:t>EWI Working Paper, 13</w:t>
              </w:r>
              <w:r>
                <w:rPr>
                  <w:noProof/>
                </w:rPr>
                <w:t>(2).</w:t>
              </w:r>
            </w:p>
            <w:p w14:paraId="4A796401" w14:textId="7F045C44" w:rsidR="0016565C" w:rsidRDefault="0016565C" w:rsidP="0016565C">
              <w:pPr>
                <w:pStyle w:val="Bibliography"/>
                <w:ind w:left="720" w:hanging="720"/>
                <w:rPr>
                  <w:noProof/>
                </w:rPr>
              </w:pPr>
              <w:r>
                <w:rPr>
                  <w:noProof/>
                </w:rPr>
                <w:t xml:space="preserve">Wang, T. T., Zhang, D., &amp; Broadstock, D. C. (2019). Fiancialization, fundamentals, and the time-varying determinants of </w:t>
              </w:r>
              <w:r w:rsidR="00D91A73">
                <w:rPr>
                  <w:noProof/>
                </w:rPr>
                <w:t>U.S.</w:t>
              </w:r>
              <w:r>
                <w:rPr>
                  <w:noProof/>
                </w:rPr>
                <w:t xml:space="preserve"> natural gas prices. </w:t>
              </w:r>
              <w:r>
                <w:rPr>
                  <w:i/>
                  <w:iCs/>
                  <w:noProof/>
                </w:rPr>
                <w:t>Energy Economics, 80</w:t>
              </w:r>
              <w:r>
                <w:rPr>
                  <w:noProof/>
                </w:rPr>
                <w:t>, 707-719.</w:t>
              </w:r>
            </w:p>
            <w:p w14:paraId="2DFE5BE2" w14:textId="77777777" w:rsidR="0016565C" w:rsidRDefault="0016565C" w:rsidP="0016565C">
              <w:pPr>
                <w:pStyle w:val="Bibliography"/>
                <w:ind w:left="720" w:hanging="720"/>
                <w:rPr>
                  <w:noProof/>
                </w:rPr>
              </w:pPr>
              <w:r>
                <w:rPr>
                  <w:noProof/>
                </w:rPr>
                <w:lastRenderedPageBreak/>
                <w:t xml:space="preserve">Zhang, D., &amp; Ji, Q. (2018). Further evidence on the debate of oil-gas price decoupling: A long memory approach. </w:t>
              </w:r>
              <w:r>
                <w:rPr>
                  <w:i/>
                  <w:iCs/>
                  <w:noProof/>
                </w:rPr>
                <w:t>Energy Policy</w:t>
              </w:r>
              <w:r>
                <w:rPr>
                  <w:noProof/>
                </w:rPr>
                <w:t>(113), 68-75.</w:t>
              </w:r>
            </w:p>
            <w:p w14:paraId="26398E10" w14:textId="76382397" w:rsidR="00ED2F58" w:rsidRDefault="00ED2F58" w:rsidP="0016565C">
              <w:r>
                <w:rPr>
                  <w:b/>
                  <w:bCs/>
                  <w:noProof/>
                </w:rPr>
                <w:fldChar w:fldCharType="end"/>
              </w:r>
            </w:p>
          </w:sdtContent>
        </w:sdt>
      </w:sdtContent>
    </w:sdt>
    <w:p w14:paraId="6E6181CE" w14:textId="77777777" w:rsidR="009055B2" w:rsidRDefault="009055B2" w:rsidP="00ED2F58">
      <w:pPr>
        <w:spacing w:line="480" w:lineRule="auto"/>
        <w:jc w:val="both"/>
        <w:rPr>
          <w:rFonts w:ascii="Times" w:hAnsi="Times"/>
        </w:rPr>
      </w:pPr>
    </w:p>
    <w:p w14:paraId="60E9B424" w14:textId="77777777" w:rsidR="009055B2" w:rsidRDefault="009055B2" w:rsidP="005E2D4F">
      <w:pPr>
        <w:spacing w:line="480" w:lineRule="auto"/>
        <w:ind w:firstLine="720"/>
        <w:jc w:val="both"/>
        <w:rPr>
          <w:rFonts w:ascii="Times" w:hAnsi="Times"/>
        </w:rPr>
      </w:pPr>
    </w:p>
    <w:p w14:paraId="2D66C35D" w14:textId="2DBDAEDA" w:rsidR="009055B2" w:rsidRDefault="009055B2" w:rsidP="005E2D4F">
      <w:pPr>
        <w:spacing w:line="480" w:lineRule="auto"/>
        <w:ind w:firstLine="720"/>
        <w:jc w:val="both"/>
        <w:rPr>
          <w:rFonts w:ascii="Times" w:hAnsi="Times"/>
        </w:rPr>
        <w:sectPr w:rsidR="009055B2" w:rsidSect="009055B2">
          <w:pgSz w:w="12240" w:h="15840"/>
          <w:pgMar w:top="1440" w:right="1440" w:bottom="1440" w:left="1440" w:header="720" w:footer="720" w:gutter="0"/>
          <w:cols w:space="720"/>
          <w:docGrid w:linePitch="360"/>
        </w:sectPr>
      </w:pPr>
    </w:p>
    <w:p w14:paraId="7AE8E05F" w14:textId="28511E6D" w:rsidR="005C7C31" w:rsidRPr="005C7C31" w:rsidRDefault="004B09F7" w:rsidP="009055B2">
      <w:pPr>
        <w:spacing w:line="480" w:lineRule="auto"/>
        <w:jc w:val="center"/>
        <w:rPr>
          <w:rFonts w:ascii="Times" w:hAnsi="Times"/>
        </w:rPr>
      </w:pPr>
      <w:r>
        <w:rPr>
          <w:rFonts w:ascii="Times" w:hAnsi="Times"/>
          <w:noProof/>
        </w:rPr>
        <w:lastRenderedPageBreak/>
        <w:drawing>
          <wp:inline distT="0" distB="0" distL="0" distR="0" wp14:anchorId="733FD251" wp14:editId="7CB26674">
            <wp:extent cx="8874211" cy="475488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rfall.emf"/>
                    <pic:cNvPicPr/>
                  </pic:nvPicPr>
                  <pic:blipFill>
                    <a:blip r:embed="rId11">
                      <a:extLst>
                        <a:ext uri="{28A0092B-C50C-407E-A947-70E740481C1C}">
                          <a14:useLocalDpi xmlns:a14="http://schemas.microsoft.com/office/drawing/2010/main" val="0"/>
                        </a:ext>
                      </a:extLst>
                    </a:blip>
                    <a:stretch>
                      <a:fillRect/>
                    </a:stretch>
                  </pic:blipFill>
                  <pic:spPr>
                    <a:xfrm>
                      <a:off x="0" y="0"/>
                      <a:ext cx="8874211" cy="4754880"/>
                    </a:xfrm>
                    <a:prstGeom prst="rect">
                      <a:avLst/>
                    </a:prstGeom>
                  </pic:spPr>
                </pic:pic>
              </a:graphicData>
            </a:graphic>
          </wp:inline>
        </w:drawing>
      </w:r>
    </w:p>
    <w:p w14:paraId="09A932C9" w14:textId="0253C818" w:rsidR="005C7C31" w:rsidRDefault="009055B2" w:rsidP="005C7C31">
      <w:pPr>
        <w:rPr>
          <w:rFonts w:ascii="Times" w:hAnsi="Times"/>
        </w:rPr>
      </w:pPr>
      <w:r>
        <w:rPr>
          <w:rFonts w:ascii="Times" w:hAnsi="Times"/>
        </w:rPr>
        <w:t>Appendix A1: Impulse response functions for all variables</w:t>
      </w:r>
    </w:p>
    <w:p w14:paraId="2277077E" w14:textId="4B672F02" w:rsidR="005C7C31" w:rsidRDefault="005C7C31" w:rsidP="005C7C31">
      <w:pPr>
        <w:rPr>
          <w:rFonts w:ascii="Times" w:hAnsi="Times"/>
        </w:rPr>
      </w:pPr>
    </w:p>
    <w:p w14:paraId="3470C867" w14:textId="77777777" w:rsidR="005C7C31" w:rsidRDefault="005C7C31" w:rsidP="005C7C31">
      <w:pPr>
        <w:rPr>
          <w:rFonts w:ascii="Times" w:hAnsi="Times"/>
        </w:rPr>
        <w:sectPr w:rsidR="005C7C31" w:rsidSect="001F050E">
          <w:pgSz w:w="15840" w:h="12240" w:orient="landscape"/>
          <w:pgMar w:top="1440" w:right="1440" w:bottom="1440" w:left="1440" w:header="720" w:footer="720" w:gutter="0"/>
          <w:cols w:space="720"/>
          <w:docGrid w:linePitch="360"/>
        </w:sectPr>
      </w:pPr>
    </w:p>
    <w:p w14:paraId="46A1901E" w14:textId="7191394C" w:rsidR="009055B2" w:rsidRDefault="009055B2" w:rsidP="005C7C31">
      <w:pPr>
        <w:autoSpaceDE w:val="0"/>
        <w:autoSpaceDN w:val="0"/>
        <w:adjustRightInd w:val="0"/>
        <w:rPr>
          <w:rFonts w:ascii="Arial" w:eastAsiaTheme="minorHAnsi" w:hAnsi="Arial" w:cs="Arial"/>
          <w:sz w:val="18"/>
          <w:szCs w:val="18"/>
        </w:rPr>
      </w:pPr>
      <w:r>
        <w:rPr>
          <w:rFonts w:ascii="Arial" w:eastAsiaTheme="minorHAnsi" w:hAnsi="Arial" w:cs="Arial"/>
          <w:sz w:val="18"/>
          <w:szCs w:val="18"/>
        </w:rPr>
        <w:lastRenderedPageBreak/>
        <w:t>Appendix A2: Markov switching regression results</w:t>
      </w:r>
    </w:p>
    <w:p w14:paraId="304B655A" w14:textId="577BE85D" w:rsidR="009055B2" w:rsidRDefault="009055B2" w:rsidP="005C7C31">
      <w:pPr>
        <w:autoSpaceDE w:val="0"/>
        <w:autoSpaceDN w:val="0"/>
        <w:adjustRightInd w:val="0"/>
        <w:rPr>
          <w:rFonts w:ascii="Arial" w:eastAsiaTheme="minorHAnsi" w:hAnsi="Arial" w:cs="Arial"/>
          <w:sz w:val="18"/>
          <w:szCs w:val="18"/>
        </w:rPr>
      </w:pPr>
    </w:p>
    <w:p w14:paraId="478E1A3E" w14:textId="77777777" w:rsidR="009055B2" w:rsidRDefault="009055B2" w:rsidP="005C7C31">
      <w:pPr>
        <w:autoSpaceDE w:val="0"/>
        <w:autoSpaceDN w:val="0"/>
        <w:adjustRightInd w:val="0"/>
        <w:rPr>
          <w:rFonts w:ascii="Arial" w:eastAsiaTheme="minorHAnsi"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1744"/>
        <w:gridCol w:w="956"/>
        <w:gridCol w:w="1046"/>
        <w:gridCol w:w="1047"/>
        <w:gridCol w:w="864"/>
      </w:tblGrid>
      <w:tr w:rsidR="005C7C31" w14:paraId="4F3B5354" w14:textId="77777777" w:rsidTr="005C7C31">
        <w:trPr>
          <w:trHeight w:val="196"/>
        </w:trPr>
        <w:tc>
          <w:tcPr>
            <w:tcW w:w="4793" w:type="dxa"/>
            <w:gridSpan w:val="4"/>
            <w:tcBorders>
              <w:top w:val="nil"/>
              <w:left w:val="nil"/>
              <w:bottom w:val="nil"/>
              <w:right w:val="nil"/>
            </w:tcBorders>
            <w:vAlign w:val="bottom"/>
          </w:tcPr>
          <w:p w14:paraId="1A29D138"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Dependent Variable: NATI</w:t>
            </w:r>
          </w:p>
        </w:tc>
        <w:tc>
          <w:tcPr>
            <w:tcW w:w="864" w:type="dxa"/>
            <w:tcBorders>
              <w:top w:val="nil"/>
              <w:left w:val="nil"/>
              <w:bottom w:val="nil"/>
              <w:right w:val="nil"/>
            </w:tcBorders>
            <w:vAlign w:val="bottom"/>
          </w:tcPr>
          <w:p w14:paraId="24CFB40E"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107C0E21" w14:textId="77777777" w:rsidTr="005C7C31">
        <w:trPr>
          <w:trHeight w:val="196"/>
        </w:trPr>
        <w:tc>
          <w:tcPr>
            <w:tcW w:w="5657" w:type="dxa"/>
            <w:gridSpan w:val="5"/>
            <w:tcBorders>
              <w:top w:val="nil"/>
              <w:left w:val="nil"/>
              <w:bottom w:val="nil"/>
              <w:right w:val="nil"/>
            </w:tcBorders>
            <w:vAlign w:val="bottom"/>
          </w:tcPr>
          <w:p w14:paraId="31F899FA"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Method: Markov Switching Regression (BFGS / Marquardt steps)</w:t>
            </w:r>
          </w:p>
        </w:tc>
      </w:tr>
      <w:tr w:rsidR="005C7C31" w14:paraId="42F7951B" w14:textId="77777777" w:rsidTr="005C7C31">
        <w:trPr>
          <w:trHeight w:val="196"/>
        </w:trPr>
        <w:tc>
          <w:tcPr>
            <w:tcW w:w="5657" w:type="dxa"/>
            <w:gridSpan w:val="5"/>
            <w:tcBorders>
              <w:top w:val="nil"/>
              <w:left w:val="nil"/>
              <w:bottom w:val="nil"/>
              <w:right w:val="nil"/>
            </w:tcBorders>
            <w:vAlign w:val="bottom"/>
          </w:tcPr>
          <w:p w14:paraId="0236C55C"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Date: 04/21/19   Time: 00:52</w:t>
            </w:r>
          </w:p>
        </w:tc>
      </w:tr>
      <w:tr w:rsidR="005C7C31" w14:paraId="55F36198" w14:textId="77777777" w:rsidTr="005C7C31">
        <w:trPr>
          <w:trHeight w:val="196"/>
        </w:trPr>
        <w:tc>
          <w:tcPr>
            <w:tcW w:w="5657" w:type="dxa"/>
            <w:gridSpan w:val="5"/>
            <w:tcBorders>
              <w:top w:val="nil"/>
              <w:left w:val="nil"/>
              <w:bottom w:val="nil"/>
              <w:right w:val="nil"/>
            </w:tcBorders>
            <w:vAlign w:val="bottom"/>
          </w:tcPr>
          <w:p w14:paraId="2F1FFB56"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Sample (adjusted): 1/02/2010 12/29/2018</w:t>
            </w:r>
          </w:p>
        </w:tc>
      </w:tr>
      <w:tr w:rsidR="005C7C31" w14:paraId="5FF1203B" w14:textId="77777777" w:rsidTr="005C7C31">
        <w:trPr>
          <w:trHeight w:val="196"/>
        </w:trPr>
        <w:tc>
          <w:tcPr>
            <w:tcW w:w="5657" w:type="dxa"/>
            <w:gridSpan w:val="5"/>
            <w:tcBorders>
              <w:top w:val="nil"/>
              <w:left w:val="nil"/>
              <w:bottom w:val="nil"/>
              <w:right w:val="nil"/>
            </w:tcBorders>
            <w:vAlign w:val="bottom"/>
          </w:tcPr>
          <w:p w14:paraId="74F3D789"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Included observations: 470 after adjustments</w:t>
            </w:r>
          </w:p>
        </w:tc>
      </w:tr>
      <w:tr w:rsidR="005C7C31" w14:paraId="37518264" w14:textId="77777777" w:rsidTr="005C7C31">
        <w:trPr>
          <w:trHeight w:val="196"/>
        </w:trPr>
        <w:tc>
          <w:tcPr>
            <w:tcW w:w="4793" w:type="dxa"/>
            <w:gridSpan w:val="4"/>
            <w:tcBorders>
              <w:top w:val="nil"/>
              <w:left w:val="nil"/>
              <w:bottom w:val="nil"/>
              <w:right w:val="nil"/>
            </w:tcBorders>
            <w:vAlign w:val="bottom"/>
          </w:tcPr>
          <w:p w14:paraId="406E71A4"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Number of states: 3</w:t>
            </w:r>
          </w:p>
        </w:tc>
        <w:tc>
          <w:tcPr>
            <w:tcW w:w="864" w:type="dxa"/>
            <w:tcBorders>
              <w:top w:val="nil"/>
              <w:left w:val="nil"/>
              <w:bottom w:val="nil"/>
              <w:right w:val="nil"/>
            </w:tcBorders>
            <w:vAlign w:val="bottom"/>
          </w:tcPr>
          <w:p w14:paraId="28434241"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36F19D87" w14:textId="77777777" w:rsidTr="005C7C31">
        <w:trPr>
          <w:trHeight w:val="196"/>
        </w:trPr>
        <w:tc>
          <w:tcPr>
            <w:tcW w:w="5657" w:type="dxa"/>
            <w:gridSpan w:val="5"/>
            <w:tcBorders>
              <w:top w:val="nil"/>
              <w:left w:val="nil"/>
              <w:bottom w:val="nil"/>
              <w:right w:val="nil"/>
            </w:tcBorders>
            <w:vAlign w:val="bottom"/>
          </w:tcPr>
          <w:p w14:paraId="4D041ACE"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Initial probabilities obtained from ergodic solution</w:t>
            </w:r>
          </w:p>
        </w:tc>
      </w:tr>
      <w:tr w:rsidR="005C7C31" w14:paraId="16A6E61A" w14:textId="77777777" w:rsidTr="005C7C31">
        <w:trPr>
          <w:trHeight w:val="196"/>
        </w:trPr>
        <w:tc>
          <w:tcPr>
            <w:tcW w:w="5657" w:type="dxa"/>
            <w:gridSpan w:val="5"/>
            <w:tcBorders>
              <w:top w:val="nil"/>
              <w:left w:val="nil"/>
              <w:bottom w:val="nil"/>
              <w:right w:val="nil"/>
            </w:tcBorders>
            <w:vAlign w:val="bottom"/>
          </w:tcPr>
          <w:p w14:paraId="6E352260"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Standard errors &amp; covariance computed using observed Hessian</w:t>
            </w:r>
          </w:p>
        </w:tc>
      </w:tr>
      <w:tr w:rsidR="005C7C31" w14:paraId="69D2AB73" w14:textId="77777777" w:rsidTr="005C7C31">
        <w:trPr>
          <w:trHeight w:val="196"/>
        </w:trPr>
        <w:tc>
          <w:tcPr>
            <w:tcW w:w="5657" w:type="dxa"/>
            <w:gridSpan w:val="5"/>
            <w:tcBorders>
              <w:top w:val="nil"/>
              <w:left w:val="nil"/>
              <w:bottom w:val="nil"/>
              <w:right w:val="nil"/>
            </w:tcBorders>
            <w:vAlign w:val="bottom"/>
          </w:tcPr>
          <w:p w14:paraId="1BD62B32"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Random search: 25 starting values with 10 iterations using 1 standard</w:t>
            </w:r>
          </w:p>
        </w:tc>
      </w:tr>
      <w:tr w:rsidR="005C7C31" w14:paraId="61E977C0" w14:textId="77777777" w:rsidTr="005C7C31">
        <w:trPr>
          <w:trHeight w:val="196"/>
        </w:trPr>
        <w:tc>
          <w:tcPr>
            <w:tcW w:w="5657" w:type="dxa"/>
            <w:gridSpan w:val="5"/>
            <w:tcBorders>
              <w:top w:val="nil"/>
              <w:left w:val="nil"/>
              <w:bottom w:val="nil"/>
              <w:right w:val="nil"/>
            </w:tcBorders>
            <w:vAlign w:val="bottom"/>
          </w:tcPr>
          <w:p w14:paraId="52085AAE"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        deviation (</w:t>
            </w:r>
            <w:proofErr w:type="spellStart"/>
            <w:r>
              <w:rPr>
                <w:rFonts w:ascii="Arial" w:eastAsiaTheme="minorHAnsi" w:hAnsi="Arial" w:cs="Arial"/>
                <w:color w:val="000000"/>
                <w:sz w:val="18"/>
                <w:szCs w:val="18"/>
              </w:rPr>
              <w:t>rng</w:t>
            </w:r>
            <w:proofErr w:type="spellEnd"/>
            <w:r>
              <w:rPr>
                <w:rFonts w:ascii="Arial" w:eastAsiaTheme="minorHAnsi" w:hAnsi="Arial" w:cs="Arial"/>
                <w:color w:val="000000"/>
                <w:sz w:val="18"/>
                <w:szCs w:val="18"/>
              </w:rPr>
              <w:t>=</w:t>
            </w:r>
            <w:proofErr w:type="spellStart"/>
            <w:r>
              <w:rPr>
                <w:rFonts w:ascii="Arial" w:eastAsiaTheme="minorHAnsi" w:hAnsi="Arial" w:cs="Arial"/>
                <w:color w:val="000000"/>
                <w:sz w:val="18"/>
                <w:szCs w:val="18"/>
              </w:rPr>
              <w:t>kn</w:t>
            </w:r>
            <w:proofErr w:type="spellEnd"/>
            <w:r>
              <w:rPr>
                <w:rFonts w:ascii="Arial" w:eastAsiaTheme="minorHAnsi" w:hAnsi="Arial" w:cs="Arial"/>
                <w:color w:val="000000"/>
                <w:sz w:val="18"/>
                <w:szCs w:val="18"/>
              </w:rPr>
              <w:t>, seed=1891994368)</w:t>
            </w:r>
          </w:p>
        </w:tc>
      </w:tr>
      <w:tr w:rsidR="005C7C31" w14:paraId="44D0A55C" w14:textId="77777777" w:rsidTr="005C7C31">
        <w:trPr>
          <w:trHeight w:val="196"/>
        </w:trPr>
        <w:tc>
          <w:tcPr>
            <w:tcW w:w="5657" w:type="dxa"/>
            <w:gridSpan w:val="5"/>
            <w:tcBorders>
              <w:top w:val="nil"/>
              <w:left w:val="nil"/>
              <w:bottom w:val="nil"/>
              <w:right w:val="nil"/>
            </w:tcBorders>
            <w:vAlign w:val="bottom"/>
          </w:tcPr>
          <w:p w14:paraId="54A3DA23"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Failure to improve objective (non-zero gradients) after 30 iterations</w:t>
            </w:r>
          </w:p>
        </w:tc>
      </w:tr>
      <w:tr w:rsidR="005C7C31" w14:paraId="2085C846" w14:textId="77777777">
        <w:trPr>
          <w:trHeight w:hRule="exact" w:val="78"/>
        </w:trPr>
        <w:tc>
          <w:tcPr>
            <w:tcW w:w="1744" w:type="dxa"/>
            <w:tcBorders>
              <w:top w:val="nil"/>
              <w:left w:val="nil"/>
              <w:bottom w:val="double" w:sz="6" w:space="2" w:color="auto"/>
              <w:right w:val="nil"/>
            </w:tcBorders>
            <w:vAlign w:val="bottom"/>
          </w:tcPr>
          <w:p w14:paraId="1364901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13F7A742"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1ED8429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697FED8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6BC931BB"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71F22FF8" w14:textId="77777777" w:rsidTr="004A3795">
        <w:trPr>
          <w:trHeight w:hRule="exact" w:val="191"/>
        </w:trPr>
        <w:tc>
          <w:tcPr>
            <w:tcW w:w="1744" w:type="dxa"/>
            <w:tcBorders>
              <w:top w:val="nil"/>
              <w:left w:val="nil"/>
              <w:bottom w:val="nil"/>
              <w:right w:val="nil"/>
            </w:tcBorders>
            <w:vAlign w:val="bottom"/>
          </w:tcPr>
          <w:p w14:paraId="4760EA4A"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6C08EFF2"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2DEA19AA"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08E7674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3070C995"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060B7B3B" w14:textId="77777777">
        <w:trPr>
          <w:trHeight w:val="196"/>
        </w:trPr>
        <w:tc>
          <w:tcPr>
            <w:tcW w:w="1744" w:type="dxa"/>
            <w:tcBorders>
              <w:top w:val="nil"/>
              <w:left w:val="nil"/>
              <w:bottom w:val="nil"/>
              <w:right w:val="nil"/>
            </w:tcBorders>
            <w:vAlign w:val="bottom"/>
          </w:tcPr>
          <w:p w14:paraId="73272AF0"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Variable</w:t>
            </w:r>
          </w:p>
        </w:tc>
        <w:tc>
          <w:tcPr>
            <w:tcW w:w="956" w:type="dxa"/>
            <w:tcBorders>
              <w:top w:val="nil"/>
              <w:left w:val="nil"/>
              <w:bottom w:val="nil"/>
              <w:right w:val="nil"/>
            </w:tcBorders>
            <w:vAlign w:val="bottom"/>
          </w:tcPr>
          <w:p w14:paraId="40A71E1E"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Coefficient</w:t>
            </w:r>
          </w:p>
        </w:tc>
        <w:tc>
          <w:tcPr>
            <w:tcW w:w="1046" w:type="dxa"/>
            <w:tcBorders>
              <w:top w:val="nil"/>
              <w:left w:val="nil"/>
              <w:bottom w:val="nil"/>
              <w:right w:val="nil"/>
            </w:tcBorders>
            <w:vAlign w:val="bottom"/>
          </w:tcPr>
          <w:p w14:paraId="663B3226"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Std. Error</w:t>
            </w:r>
          </w:p>
        </w:tc>
        <w:tc>
          <w:tcPr>
            <w:tcW w:w="1047" w:type="dxa"/>
            <w:tcBorders>
              <w:top w:val="nil"/>
              <w:left w:val="nil"/>
              <w:bottom w:val="nil"/>
              <w:right w:val="nil"/>
            </w:tcBorders>
            <w:vAlign w:val="bottom"/>
          </w:tcPr>
          <w:p w14:paraId="07FFC010"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z-Statistic</w:t>
            </w:r>
          </w:p>
        </w:tc>
        <w:tc>
          <w:tcPr>
            <w:tcW w:w="864" w:type="dxa"/>
            <w:tcBorders>
              <w:top w:val="nil"/>
              <w:left w:val="nil"/>
              <w:bottom w:val="nil"/>
              <w:right w:val="nil"/>
            </w:tcBorders>
            <w:vAlign w:val="bottom"/>
          </w:tcPr>
          <w:p w14:paraId="7977DAA2"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Prob.  </w:t>
            </w:r>
          </w:p>
        </w:tc>
      </w:tr>
      <w:tr w:rsidR="005C7C31" w14:paraId="32240D60" w14:textId="77777777">
        <w:trPr>
          <w:trHeight w:hRule="exact" w:val="78"/>
        </w:trPr>
        <w:tc>
          <w:tcPr>
            <w:tcW w:w="1744" w:type="dxa"/>
            <w:tcBorders>
              <w:top w:val="nil"/>
              <w:left w:val="nil"/>
              <w:bottom w:val="double" w:sz="6" w:space="2" w:color="auto"/>
              <w:right w:val="nil"/>
            </w:tcBorders>
            <w:vAlign w:val="bottom"/>
          </w:tcPr>
          <w:p w14:paraId="01833C03"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22A1EDB3"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39289EC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665F365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6DB41F5C"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01F5C811" w14:textId="77777777">
        <w:trPr>
          <w:trHeight w:hRule="exact" w:val="117"/>
        </w:trPr>
        <w:tc>
          <w:tcPr>
            <w:tcW w:w="1744" w:type="dxa"/>
            <w:tcBorders>
              <w:top w:val="nil"/>
              <w:left w:val="nil"/>
              <w:bottom w:val="nil"/>
              <w:right w:val="nil"/>
            </w:tcBorders>
            <w:vAlign w:val="bottom"/>
          </w:tcPr>
          <w:p w14:paraId="2C21E69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2B979947"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71E006A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3A6BB737"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516099B6"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4D5159CF" w14:textId="77777777" w:rsidTr="005C7C31">
        <w:trPr>
          <w:trHeight w:val="196"/>
        </w:trPr>
        <w:tc>
          <w:tcPr>
            <w:tcW w:w="5657" w:type="dxa"/>
            <w:gridSpan w:val="5"/>
            <w:tcBorders>
              <w:top w:val="nil"/>
              <w:left w:val="nil"/>
              <w:bottom w:val="nil"/>
              <w:right w:val="nil"/>
            </w:tcBorders>
            <w:vAlign w:val="bottom"/>
          </w:tcPr>
          <w:p w14:paraId="4D08EBB2"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Regime 1</w:t>
            </w:r>
          </w:p>
        </w:tc>
      </w:tr>
      <w:tr w:rsidR="005C7C31" w14:paraId="6FEC2091" w14:textId="77777777">
        <w:trPr>
          <w:trHeight w:hRule="exact" w:val="78"/>
        </w:trPr>
        <w:tc>
          <w:tcPr>
            <w:tcW w:w="1744" w:type="dxa"/>
            <w:tcBorders>
              <w:top w:val="nil"/>
              <w:left w:val="nil"/>
              <w:bottom w:val="double" w:sz="6" w:space="2" w:color="auto"/>
              <w:right w:val="nil"/>
            </w:tcBorders>
            <w:vAlign w:val="bottom"/>
          </w:tcPr>
          <w:p w14:paraId="44EF262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25986D3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63A344F3"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09991A4A"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51922D99"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527F731A" w14:textId="77777777">
        <w:trPr>
          <w:trHeight w:hRule="exact" w:val="117"/>
        </w:trPr>
        <w:tc>
          <w:tcPr>
            <w:tcW w:w="1744" w:type="dxa"/>
            <w:tcBorders>
              <w:top w:val="nil"/>
              <w:left w:val="nil"/>
              <w:bottom w:val="nil"/>
              <w:right w:val="nil"/>
            </w:tcBorders>
            <w:vAlign w:val="bottom"/>
          </w:tcPr>
          <w:p w14:paraId="50AA60A6"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334A917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4EBADE1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71E7E99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68F9CECD"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6F8D9E80" w14:textId="77777777">
        <w:trPr>
          <w:trHeight w:val="196"/>
        </w:trPr>
        <w:tc>
          <w:tcPr>
            <w:tcW w:w="1744" w:type="dxa"/>
            <w:tcBorders>
              <w:top w:val="nil"/>
              <w:left w:val="nil"/>
              <w:bottom w:val="nil"/>
              <w:right w:val="nil"/>
            </w:tcBorders>
            <w:vAlign w:val="bottom"/>
          </w:tcPr>
          <w:p w14:paraId="7E6F841C"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C</w:t>
            </w:r>
          </w:p>
        </w:tc>
        <w:tc>
          <w:tcPr>
            <w:tcW w:w="956" w:type="dxa"/>
            <w:tcBorders>
              <w:top w:val="nil"/>
              <w:left w:val="nil"/>
              <w:bottom w:val="nil"/>
              <w:right w:val="nil"/>
            </w:tcBorders>
            <w:vAlign w:val="bottom"/>
          </w:tcPr>
          <w:p w14:paraId="172C13F2"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2.720548</w:t>
            </w:r>
          </w:p>
        </w:tc>
        <w:tc>
          <w:tcPr>
            <w:tcW w:w="1046" w:type="dxa"/>
            <w:tcBorders>
              <w:top w:val="nil"/>
              <w:left w:val="nil"/>
              <w:bottom w:val="nil"/>
              <w:right w:val="nil"/>
            </w:tcBorders>
            <w:vAlign w:val="bottom"/>
          </w:tcPr>
          <w:p w14:paraId="1105E270"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0.030059</w:t>
            </w:r>
          </w:p>
        </w:tc>
        <w:tc>
          <w:tcPr>
            <w:tcW w:w="1047" w:type="dxa"/>
            <w:tcBorders>
              <w:top w:val="nil"/>
              <w:left w:val="nil"/>
              <w:bottom w:val="nil"/>
              <w:right w:val="nil"/>
            </w:tcBorders>
            <w:vAlign w:val="bottom"/>
          </w:tcPr>
          <w:p w14:paraId="29CCAD05"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90.50647</w:t>
            </w:r>
          </w:p>
        </w:tc>
        <w:tc>
          <w:tcPr>
            <w:tcW w:w="864" w:type="dxa"/>
            <w:tcBorders>
              <w:top w:val="nil"/>
              <w:left w:val="nil"/>
              <w:bottom w:val="nil"/>
              <w:right w:val="nil"/>
            </w:tcBorders>
            <w:vAlign w:val="bottom"/>
          </w:tcPr>
          <w:p w14:paraId="2C16537D"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2E51448C" w14:textId="77777777">
        <w:trPr>
          <w:trHeight w:val="196"/>
        </w:trPr>
        <w:tc>
          <w:tcPr>
            <w:tcW w:w="1744" w:type="dxa"/>
            <w:tcBorders>
              <w:top w:val="nil"/>
              <w:left w:val="nil"/>
              <w:bottom w:val="nil"/>
              <w:right w:val="nil"/>
            </w:tcBorders>
            <w:vAlign w:val="bottom"/>
          </w:tcPr>
          <w:p w14:paraId="27068844"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D(AVCOALPR)</w:t>
            </w:r>
          </w:p>
        </w:tc>
        <w:tc>
          <w:tcPr>
            <w:tcW w:w="956" w:type="dxa"/>
            <w:tcBorders>
              <w:top w:val="nil"/>
              <w:left w:val="nil"/>
              <w:bottom w:val="nil"/>
              <w:right w:val="nil"/>
            </w:tcBorders>
            <w:vAlign w:val="bottom"/>
          </w:tcPr>
          <w:p w14:paraId="40A6649B" w14:textId="77777777" w:rsidR="005C7C31" w:rsidRDefault="005C7C31">
            <w:pPr>
              <w:autoSpaceDE w:val="0"/>
              <w:autoSpaceDN w:val="0"/>
              <w:adjustRightInd w:val="0"/>
              <w:ind w:right="30"/>
              <w:jc w:val="right"/>
              <w:rPr>
                <w:rFonts w:ascii="Arial" w:eastAsiaTheme="minorHAnsi" w:hAnsi="Arial" w:cs="Arial"/>
                <w:color w:val="000000"/>
                <w:sz w:val="18"/>
                <w:szCs w:val="18"/>
              </w:rPr>
            </w:pPr>
            <w:r w:rsidRPr="005C7C31">
              <w:rPr>
                <w:rFonts w:ascii="Arial" w:eastAsiaTheme="minorHAnsi" w:hAnsi="Arial" w:cs="Arial"/>
                <w:color w:val="000000"/>
                <w:sz w:val="18"/>
                <w:szCs w:val="18"/>
                <w:highlight w:val="yellow"/>
              </w:rPr>
              <w:t>0.200226</w:t>
            </w:r>
          </w:p>
        </w:tc>
        <w:tc>
          <w:tcPr>
            <w:tcW w:w="1046" w:type="dxa"/>
            <w:tcBorders>
              <w:top w:val="nil"/>
              <w:left w:val="nil"/>
              <w:bottom w:val="nil"/>
              <w:right w:val="nil"/>
            </w:tcBorders>
            <w:vAlign w:val="bottom"/>
          </w:tcPr>
          <w:p w14:paraId="4A6E6839"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0.062423</w:t>
            </w:r>
          </w:p>
        </w:tc>
        <w:tc>
          <w:tcPr>
            <w:tcW w:w="1047" w:type="dxa"/>
            <w:tcBorders>
              <w:top w:val="nil"/>
              <w:left w:val="nil"/>
              <w:bottom w:val="nil"/>
              <w:right w:val="nil"/>
            </w:tcBorders>
            <w:vAlign w:val="bottom"/>
          </w:tcPr>
          <w:p w14:paraId="08A12B5A"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3.207557</w:t>
            </w:r>
          </w:p>
        </w:tc>
        <w:tc>
          <w:tcPr>
            <w:tcW w:w="864" w:type="dxa"/>
            <w:tcBorders>
              <w:top w:val="nil"/>
              <w:left w:val="nil"/>
              <w:bottom w:val="nil"/>
              <w:right w:val="nil"/>
            </w:tcBorders>
            <w:vAlign w:val="bottom"/>
          </w:tcPr>
          <w:p w14:paraId="2A08CA9A"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0.0013</w:t>
            </w:r>
          </w:p>
        </w:tc>
      </w:tr>
      <w:tr w:rsidR="005C7C31" w14:paraId="4727DBFC" w14:textId="77777777">
        <w:trPr>
          <w:trHeight w:hRule="exact" w:val="78"/>
        </w:trPr>
        <w:tc>
          <w:tcPr>
            <w:tcW w:w="1744" w:type="dxa"/>
            <w:tcBorders>
              <w:top w:val="nil"/>
              <w:left w:val="nil"/>
              <w:bottom w:val="double" w:sz="6" w:space="2" w:color="auto"/>
              <w:right w:val="nil"/>
            </w:tcBorders>
            <w:vAlign w:val="bottom"/>
          </w:tcPr>
          <w:p w14:paraId="7EBF7716"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12488B18"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040CD43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7B34FF5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3B33A403"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4DC5D54B" w14:textId="77777777">
        <w:trPr>
          <w:trHeight w:hRule="exact" w:val="117"/>
        </w:trPr>
        <w:tc>
          <w:tcPr>
            <w:tcW w:w="1744" w:type="dxa"/>
            <w:tcBorders>
              <w:top w:val="nil"/>
              <w:left w:val="nil"/>
              <w:bottom w:val="nil"/>
              <w:right w:val="nil"/>
            </w:tcBorders>
            <w:vAlign w:val="bottom"/>
          </w:tcPr>
          <w:p w14:paraId="5F2F24A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2E9E90F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142BE2DE"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72AB2CA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2BDCB984"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4081EF21" w14:textId="77777777" w:rsidTr="005C7C31">
        <w:trPr>
          <w:trHeight w:val="196"/>
        </w:trPr>
        <w:tc>
          <w:tcPr>
            <w:tcW w:w="5657" w:type="dxa"/>
            <w:gridSpan w:val="5"/>
            <w:tcBorders>
              <w:top w:val="nil"/>
              <w:left w:val="nil"/>
              <w:bottom w:val="nil"/>
              <w:right w:val="nil"/>
            </w:tcBorders>
            <w:vAlign w:val="bottom"/>
          </w:tcPr>
          <w:p w14:paraId="39947E01"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Regime 2</w:t>
            </w:r>
          </w:p>
        </w:tc>
      </w:tr>
      <w:tr w:rsidR="005C7C31" w14:paraId="712DC8E7" w14:textId="77777777">
        <w:trPr>
          <w:trHeight w:hRule="exact" w:val="78"/>
        </w:trPr>
        <w:tc>
          <w:tcPr>
            <w:tcW w:w="1744" w:type="dxa"/>
            <w:tcBorders>
              <w:top w:val="nil"/>
              <w:left w:val="nil"/>
              <w:bottom w:val="double" w:sz="6" w:space="2" w:color="auto"/>
              <w:right w:val="nil"/>
            </w:tcBorders>
            <w:vAlign w:val="bottom"/>
          </w:tcPr>
          <w:p w14:paraId="53BFAE56"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7B9001EA"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5EA664B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3071CFB7"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193A6B29"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5799C4AA" w14:textId="77777777">
        <w:trPr>
          <w:trHeight w:hRule="exact" w:val="117"/>
        </w:trPr>
        <w:tc>
          <w:tcPr>
            <w:tcW w:w="1744" w:type="dxa"/>
            <w:tcBorders>
              <w:top w:val="nil"/>
              <w:left w:val="nil"/>
              <w:bottom w:val="nil"/>
              <w:right w:val="nil"/>
            </w:tcBorders>
            <w:vAlign w:val="bottom"/>
          </w:tcPr>
          <w:p w14:paraId="04812AE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6A5873E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5E6257E7"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7DD31899"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2663A410"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17602489" w14:textId="77777777">
        <w:trPr>
          <w:trHeight w:val="196"/>
        </w:trPr>
        <w:tc>
          <w:tcPr>
            <w:tcW w:w="1744" w:type="dxa"/>
            <w:tcBorders>
              <w:top w:val="nil"/>
              <w:left w:val="nil"/>
              <w:bottom w:val="nil"/>
              <w:right w:val="nil"/>
            </w:tcBorders>
            <w:vAlign w:val="bottom"/>
          </w:tcPr>
          <w:p w14:paraId="411A9935"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C</w:t>
            </w:r>
          </w:p>
        </w:tc>
        <w:tc>
          <w:tcPr>
            <w:tcW w:w="956" w:type="dxa"/>
            <w:tcBorders>
              <w:top w:val="nil"/>
              <w:left w:val="nil"/>
              <w:bottom w:val="nil"/>
              <w:right w:val="nil"/>
            </w:tcBorders>
            <w:vAlign w:val="bottom"/>
          </w:tcPr>
          <w:p w14:paraId="34744BDD"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3.859252</w:t>
            </w:r>
          </w:p>
        </w:tc>
        <w:tc>
          <w:tcPr>
            <w:tcW w:w="1046" w:type="dxa"/>
            <w:tcBorders>
              <w:top w:val="nil"/>
              <w:left w:val="nil"/>
              <w:bottom w:val="nil"/>
              <w:right w:val="nil"/>
            </w:tcBorders>
            <w:vAlign w:val="bottom"/>
          </w:tcPr>
          <w:p w14:paraId="6C8F2D4E"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0.046606</w:t>
            </w:r>
          </w:p>
        </w:tc>
        <w:tc>
          <w:tcPr>
            <w:tcW w:w="1047" w:type="dxa"/>
            <w:tcBorders>
              <w:top w:val="nil"/>
              <w:left w:val="nil"/>
              <w:bottom w:val="nil"/>
              <w:right w:val="nil"/>
            </w:tcBorders>
            <w:vAlign w:val="bottom"/>
          </w:tcPr>
          <w:p w14:paraId="4BCA093D"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82.80654</w:t>
            </w:r>
          </w:p>
        </w:tc>
        <w:tc>
          <w:tcPr>
            <w:tcW w:w="864" w:type="dxa"/>
            <w:tcBorders>
              <w:top w:val="nil"/>
              <w:left w:val="nil"/>
              <w:bottom w:val="nil"/>
              <w:right w:val="nil"/>
            </w:tcBorders>
            <w:vAlign w:val="bottom"/>
          </w:tcPr>
          <w:p w14:paraId="20D14566"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00BD49F4" w14:textId="77777777">
        <w:trPr>
          <w:trHeight w:val="196"/>
        </w:trPr>
        <w:tc>
          <w:tcPr>
            <w:tcW w:w="1744" w:type="dxa"/>
            <w:tcBorders>
              <w:top w:val="nil"/>
              <w:left w:val="nil"/>
              <w:bottom w:val="nil"/>
              <w:right w:val="nil"/>
            </w:tcBorders>
            <w:vAlign w:val="bottom"/>
          </w:tcPr>
          <w:p w14:paraId="5E666460"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D(AVCOALPR)</w:t>
            </w:r>
          </w:p>
        </w:tc>
        <w:tc>
          <w:tcPr>
            <w:tcW w:w="956" w:type="dxa"/>
            <w:tcBorders>
              <w:top w:val="nil"/>
              <w:left w:val="nil"/>
              <w:bottom w:val="nil"/>
              <w:right w:val="nil"/>
            </w:tcBorders>
            <w:vAlign w:val="bottom"/>
          </w:tcPr>
          <w:p w14:paraId="19259117" w14:textId="77777777" w:rsidR="005C7C31" w:rsidRDefault="005C7C31">
            <w:pPr>
              <w:autoSpaceDE w:val="0"/>
              <w:autoSpaceDN w:val="0"/>
              <w:adjustRightInd w:val="0"/>
              <w:ind w:right="30"/>
              <w:jc w:val="right"/>
              <w:rPr>
                <w:rFonts w:ascii="Arial" w:eastAsiaTheme="minorHAnsi" w:hAnsi="Arial" w:cs="Arial"/>
                <w:color w:val="000000"/>
                <w:sz w:val="18"/>
                <w:szCs w:val="18"/>
              </w:rPr>
            </w:pPr>
            <w:r w:rsidRPr="005C7C31">
              <w:rPr>
                <w:rFonts w:ascii="Arial" w:eastAsiaTheme="minorHAnsi" w:hAnsi="Arial" w:cs="Arial"/>
                <w:color w:val="000000"/>
                <w:sz w:val="18"/>
                <w:szCs w:val="18"/>
                <w:highlight w:val="yellow"/>
              </w:rPr>
              <w:t>0.200152</w:t>
            </w:r>
          </w:p>
        </w:tc>
        <w:tc>
          <w:tcPr>
            <w:tcW w:w="1046" w:type="dxa"/>
            <w:tcBorders>
              <w:top w:val="nil"/>
              <w:left w:val="nil"/>
              <w:bottom w:val="nil"/>
              <w:right w:val="nil"/>
            </w:tcBorders>
            <w:vAlign w:val="bottom"/>
          </w:tcPr>
          <w:p w14:paraId="513BED81"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0.104927</w:t>
            </w:r>
          </w:p>
        </w:tc>
        <w:tc>
          <w:tcPr>
            <w:tcW w:w="1047" w:type="dxa"/>
            <w:tcBorders>
              <w:top w:val="nil"/>
              <w:left w:val="nil"/>
              <w:bottom w:val="nil"/>
              <w:right w:val="nil"/>
            </w:tcBorders>
            <w:vAlign w:val="bottom"/>
          </w:tcPr>
          <w:p w14:paraId="03135904"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1.907536</w:t>
            </w:r>
          </w:p>
        </w:tc>
        <w:tc>
          <w:tcPr>
            <w:tcW w:w="864" w:type="dxa"/>
            <w:tcBorders>
              <w:top w:val="nil"/>
              <w:left w:val="nil"/>
              <w:bottom w:val="nil"/>
              <w:right w:val="nil"/>
            </w:tcBorders>
            <w:vAlign w:val="bottom"/>
          </w:tcPr>
          <w:p w14:paraId="184A9831"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0.0565</w:t>
            </w:r>
          </w:p>
        </w:tc>
      </w:tr>
      <w:tr w:rsidR="005C7C31" w14:paraId="28E8E3A2" w14:textId="77777777">
        <w:trPr>
          <w:trHeight w:hRule="exact" w:val="78"/>
        </w:trPr>
        <w:tc>
          <w:tcPr>
            <w:tcW w:w="1744" w:type="dxa"/>
            <w:tcBorders>
              <w:top w:val="nil"/>
              <w:left w:val="nil"/>
              <w:bottom w:val="double" w:sz="6" w:space="2" w:color="auto"/>
              <w:right w:val="nil"/>
            </w:tcBorders>
            <w:vAlign w:val="bottom"/>
          </w:tcPr>
          <w:p w14:paraId="78CAB7F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1400133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61ECEE1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597666B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2E4F07BF"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43E30EB9" w14:textId="77777777">
        <w:trPr>
          <w:trHeight w:hRule="exact" w:val="117"/>
        </w:trPr>
        <w:tc>
          <w:tcPr>
            <w:tcW w:w="1744" w:type="dxa"/>
            <w:tcBorders>
              <w:top w:val="nil"/>
              <w:left w:val="nil"/>
              <w:bottom w:val="nil"/>
              <w:right w:val="nil"/>
            </w:tcBorders>
            <w:vAlign w:val="bottom"/>
          </w:tcPr>
          <w:p w14:paraId="09718F0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6487C1F9"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47295888"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1836228A"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6FD7C665"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33BE2059" w14:textId="77777777" w:rsidTr="005C7C31">
        <w:trPr>
          <w:trHeight w:val="196"/>
        </w:trPr>
        <w:tc>
          <w:tcPr>
            <w:tcW w:w="5657" w:type="dxa"/>
            <w:gridSpan w:val="5"/>
            <w:tcBorders>
              <w:top w:val="nil"/>
              <w:left w:val="nil"/>
              <w:bottom w:val="nil"/>
              <w:right w:val="nil"/>
            </w:tcBorders>
            <w:vAlign w:val="bottom"/>
          </w:tcPr>
          <w:p w14:paraId="78B896C3"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Regime 3</w:t>
            </w:r>
          </w:p>
        </w:tc>
      </w:tr>
      <w:tr w:rsidR="005C7C31" w14:paraId="33077DA0" w14:textId="77777777">
        <w:trPr>
          <w:trHeight w:hRule="exact" w:val="78"/>
        </w:trPr>
        <w:tc>
          <w:tcPr>
            <w:tcW w:w="1744" w:type="dxa"/>
            <w:tcBorders>
              <w:top w:val="nil"/>
              <w:left w:val="nil"/>
              <w:bottom w:val="double" w:sz="6" w:space="2" w:color="auto"/>
              <w:right w:val="nil"/>
            </w:tcBorders>
            <w:vAlign w:val="bottom"/>
          </w:tcPr>
          <w:p w14:paraId="1FEBD378"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351C73F8"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1F99AE9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65CC756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6FBFFADA"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2D79ED7C" w14:textId="77777777">
        <w:trPr>
          <w:trHeight w:hRule="exact" w:val="117"/>
        </w:trPr>
        <w:tc>
          <w:tcPr>
            <w:tcW w:w="1744" w:type="dxa"/>
            <w:tcBorders>
              <w:top w:val="nil"/>
              <w:left w:val="nil"/>
              <w:bottom w:val="nil"/>
              <w:right w:val="nil"/>
            </w:tcBorders>
            <w:vAlign w:val="bottom"/>
          </w:tcPr>
          <w:p w14:paraId="416B237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463D4D6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38CE22FC"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5720DF7C"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232A6BE5"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2D2A882F" w14:textId="77777777">
        <w:trPr>
          <w:trHeight w:val="196"/>
        </w:trPr>
        <w:tc>
          <w:tcPr>
            <w:tcW w:w="1744" w:type="dxa"/>
            <w:tcBorders>
              <w:top w:val="nil"/>
              <w:left w:val="nil"/>
              <w:bottom w:val="nil"/>
              <w:right w:val="nil"/>
            </w:tcBorders>
            <w:vAlign w:val="bottom"/>
          </w:tcPr>
          <w:p w14:paraId="399877DA"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C</w:t>
            </w:r>
          </w:p>
        </w:tc>
        <w:tc>
          <w:tcPr>
            <w:tcW w:w="956" w:type="dxa"/>
            <w:tcBorders>
              <w:top w:val="nil"/>
              <w:left w:val="nil"/>
              <w:bottom w:val="nil"/>
              <w:right w:val="nil"/>
            </w:tcBorders>
            <w:vAlign w:val="bottom"/>
          </w:tcPr>
          <w:p w14:paraId="293ABCD0"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4.966557</w:t>
            </w:r>
          </w:p>
        </w:tc>
        <w:tc>
          <w:tcPr>
            <w:tcW w:w="1046" w:type="dxa"/>
            <w:tcBorders>
              <w:top w:val="nil"/>
              <w:left w:val="nil"/>
              <w:bottom w:val="nil"/>
              <w:right w:val="nil"/>
            </w:tcBorders>
            <w:vAlign w:val="bottom"/>
          </w:tcPr>
          <w:p w14:paraId="4D6A5080"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0.105502</w:t>
            </w:r>
          </w:p>
        </w:tc>
        <w:tc>
          <w:tcPr>
            <w:tcW w:w="1047" w:type="dxa"/>
            <w:tcBorders>
              <w:top w:val="nil"/>
              <w:left w:val="nil"/>
              <w:bottom w:val="nil"/>
              <w:right w:val="nil"/>
            </w:tcBorders>
            <w:vAlign w:val="bottom"/>
          </w:tcPr>
          <w:p w14:paraId="029F2FA5"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47.07560</w:t>
            </w:r>
          </w:p>
        </w:tc>
        <w:tc>
          <w:tcPr>
            <w:tcW w:w="864" w:type="dxa"/>
            <w:tcBorders>
              <w:top w:val="nil"/>
              <w:left w:val="nil"/>
              <w:bottom w:val="nil"/>
              <w:right w:val="nil"/>
            </w:tcBorders>
            <w:vAlign w:val="bottom"/>
          </w:tcPr>
          <w:p w14:paraId="2FF38B0F"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3B61C26A" w14:textId="77777777">
        <w:trPr>
          <w:trHeight w:val="196"/>
        </w:trPr>
        <w:tc>
          <w:tcPr>
            <w:tcW w:w="1744" w:type="dxa"/>
            <w:tcBorders>
              <w:top w:val="nil"/>
              <w:left w:val="nil"/>
              <w:bottom w:val="nil"/>
              <w:right w:val="nil"/>
            </w:tcBorders>
            <w:vAlign w:val="bottom"/>
          </w:tcPr>
          <w:p w14:paraId="53B7335D"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D(AVCOALPR)</w:t>
            </w:r>
          </w:p>
        </w:tc>
        <w:tc>
          <w:tcPr>
            <w:tcW w:w="956" w:type="dxa"/>
            <w:tcBorders>
              <w:top w:val="nil"/>
              <w:left w:val="nil"/>
              <w:bottom w:val="nil"/>
              <w:right w:val="nil"/>
            </w:tcBorders>
            <w:vAlign w:val="bottom"/>
          </w:tcPr>
          <w:p w14:paraId="363A4AC8" w14:textId="77777777" w:rsidR="005C7C31" w:rsidRDefault="005C7C31">
            <w:pPr>
              <w:autoSpaceDE w:val="0"/>
              <w:autoSpaceDN w:val="0"/>
              <w:adjustRightInd w:val="0"/>
              <w:ind w:right="30"/>
              <w:jc w:val="right"/>
              <w:rPr>
                <w:rFonts w:ascii="Arial" w:eastAsiaTheme="minorHAnsi" w:hAnsi="Arial" w:cs="Arial"/>
                <w:color w:val="000000"/>
                <w:sz w:val="18"/>
                <w:szCs w:val="18"/>
              </w:rPr>
            </w:pPr>
            <w:r w:rsidRPr="005C7C31">
              <w:rPr>
                <w:rFonts w:ascii="Arial" w:eastAsiaTheme="minorHAnsi" w:hAnsi="Arial" w:cs="Arial"/>
                <w:color w:val="000000"/>
                <w:sz w:val="18"/>
                <w:szCs w:val="18"/>
                <w:highlight w:val="yellow"/>
              </w:rPr>
              <w:t>0.097618</w:t>
            </w:r>
          </w:p>
        </w:tc>
        <w:tc>
          <w:tcPr>
            <w:tcW w:w="1046" w:type="dxa"/>
            <w:tcBorders>
              <w:top w:val="nil"/>
              <w:left w:val="nil"/>
              <w:bottom w:val="nil"/>
              <w:right w:val="nil"/>
            </w:tcBorders>
            <w:vAlign w:val="bottom"/>
          </w:tcPr>
          <w:p w14:paraId="7553A5E2"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0.185178</w:t>
            </w:r>
          </w:p>
        </w:tc>
        <w:tc>
          <w:tcPr>
            <w:tcW w:w="1047" w:type="dxa"/>
            <w:tcBorders>
              <w:top w:val="nil"/>
              <w:left w:val="nil"/>
              <w:bottom w:val="nil"/>
              <w:right w:val="nil"/>
            </w:tcBorders>
            <w:vAlign w:val="bottom"/>
          </w:tcPr>
          <w:p w14:paraId="250FB707"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0.527158</w:t>
            </w:r>
          </w:p>
        </w:tc>
        <w:tc>
          <w:tcPr>
            <w:tcW w:w="864" w:type="dxa"/>
            <w:tcBorders>
              <w:top w:val="nil"/>
              <w:left w:val="nil"/>
              <w:bottom w:val="nil"/>
              <w:right w:val="nil"/>
            </w:tcBorders>
            <w:vAlign w:val="bottom"/>
          </w:tcPr>
          <w:p w14:paraId="66ED5EFB"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0.5981</w:t>
            </w:r>
          </w:p>
        </w:tc>
      </w:tr>
      <w:tr w:rsidR="005C7C31" w14:paraId="0D80CAE9" w14:textId="77777777">
        <w:trPr>
          <w:trHeight w:hRule="exact" w:val="78"/>
        </w:trPr>
        <w:tc>
          <w:tcPr>
            <w:tcW w:w="1744" w:type="dxa"/>
            <w:tcBorders>
              <w:top w:val="nil"/>
              <w:left w:val="nil"/>
              <w:bottom w:val="double" w:sz="6" w:space="2" w:color="auto"/>
              <w:right w:val="nil"/>
            </w:tcBorders>
            <w:vAlign w:val="bottom"/>
          </w:tcPr>
          <w:p w14:paraId="306C2052"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3F20AC07"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637451E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0076B7B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657325DF"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7ED9A666" w14:textId="77777777">
        <w:trPr>
          <w:trHeight w:hRule="exact" w:val="117"/>
        </w:trPr>
        <w:tc>
          <w:tcPr>
            <w:tcW w:w="1744" w:type="dxa"/>
            <w:tcBorders>
              <w:top w:val="nil"/>
              <w:left w:val="nil"/>
              <w:bottom w:val="nil"/>
              <w:right w:val="nil"/>
            </w:tcBorders>
            <w:vAlign w:val="bottom"/>
          </w:tcPr>
          <w:p w14:paraId="20F504FE"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72CD4E86"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494A6B1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46FBD189"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45A24FBC"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59BFF5FE" w14:textId="77777777" w:rsidTr="005C7C31">
        <w:trPr>
          <w:trHeight w:val="196"/>
        </w:trPr>
        <w:tc>
          <w:tcPr>
            <w:tcW w:w="5657" w:type="dxa"/>
            <w:gridSpan w:val="5"/>
            <w:tcBorders>
              <w:top w:val="nil"/>
              <w:left w:val="nil"/>
              <w:bottom w:val="nil"/>
              <w:right w:val="nil"/>
            </w:tcBorders>
            <w:vAlign w:val="bottom"/>
          </w:tcPr>
          <w:p w14:paraId="7ED1A5B7"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Common</w:t>
            </w:r>
          </w:p>
        </w:tc>
      </w:tr>
      <w:tr w:rsidR="005C7C31" w14:paraId="7D754172" w14:textId="77777777">
        <w:trPr>
          <w:trHeight w:hRule="exact" w:val="78"/>
        </w:trPr>
        <w:tc>
          <w:tcPr>
            <w:tcW w:w="1744" w:type="dxa"/>
            <w:tcBorders>
              <w:top w:val="nil"/>
              <w:left w:val="nil"/>
              <w:bottom w:val="double" w:sz="6" w:space="2" w:color="auto"/>
              <w:right w:val="nil"/>
            </w:tcBorders>
            <w:vAlign w:val="bottom"/>
          </w:tcPr>
          <w:p w14:paraId="344CF6A7"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079F354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01CC42CF"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142BBA6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6C9A7B33"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2043EDE1" w14:textId="77777777">
        <w:trPr>
          <w:trHeight w:hRule="exact" w:val="117"/>
        </w:trPr>
        <w:tc>
          <w:tcPr>
            <w:tcW w:w="1744" w:type="dxa"/>
            <w:tcBorders>
              <w:top w:val="nil"/>
              <w:left w:val="nil"/>
              <w:bottom w:val="nil"/>
              <w:right w:val="nil"/>
            </w:tcBorders>
            <w:vAlign w:val="bottom"/>
          </w:tcPr>
          <w:p w14:paraId="165C9E3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7A2F4C52"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038FCE8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3EF35B93"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190CEF45"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23573C7E" w14:textId="77777777">
        <w:trPr>
          <w:trHeight w:val="196"/>
        </w:trPr>
        <w:tc>
          <w:tcPr>
            <w:tcW w:w="1744" w:type="dxa"/>
            <w:tcBorders>
              <w:top w:val="nil"/>
              <w:left w:val="nil"/>
              <w:bottom w:val="nil"/>
              <w:right w:val="nil"/>
            </w:tcBorders>
            <w:vAlign w:val="bottom"/>
          </w:tcPr>
          <w:p w14:paraId="690992F9"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LOG(SIGMA)</w:t>
            </w:r>
          </w:p>
        </w:tc>
        <w:tc>
          <w:tcPr>
            <w:tcW w:w="956" w:type="dxa"/>
            <w:tcBorders>
              <w:top w:val="nil"/>
              <w:left w:val="nil"/>
              <w:bottom w:val="nil"/>
              <w:right w:val="nil"/>
            </w:tcBorders>
            <w:vAlign w:val="bottom"/>
          </w:tcPr>
          <w:p w14:paraId="2F584A2D"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-0.900607</w:t>
            </w:r>
          </w:p>
        </w:tc>
        <w:tc>
          <w:tcPr>
            <w:tcW w:w="1046" w:type="dxa"/>
            <w:tcBorders>
              <w:top w:val="nil"/>
              <w:left w:val="nil"/>
              <w:bottom w:val="nil"/>
              <w:right w:val="nil"/>
            </w:tcBorders>
            <w:vAlign w:val="bottom"/>
          </w:tcPr>
          <w:p w14:paraId="69227384"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0.035001</w:t>
            </w:r>
          </w:p>
        </w:tc>
        <w:tc>
          <w:tcPr>
            <w:tcW w:w="1047" w:type="dxa"/>
            <w:tcBorders>
              <w:top w:val="nil"/>
              <w:left w:val="nil"/>
              <w:bottom w:val="nil"/>
              <w:right w:val="nil"/>
            </w:tcBorders>
            <w:vAlign w:val="bottom"/>
          </w:tcPr>
          <w:p w14:paraId="69B6809E"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-25.73061</w:t>
            </w:r>
          </w:p>
        </w:tc>
        <w:tc>
          <w:tcPr>
            <w:tcW w:w="864" w:type="dxa"/>
            <w:tcBorders>
              <w:top w:val="nil"/>
              <w:left w:val="nil"/>
              <w:bottom w:val="nil"/>
              <w:right w:val="nil"/>
            </w:tcBorders>
            <w:vAlign w:val="bottom"/>
          </w:tcPr>
          <w:p w14:paraId="19711C4C"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192667CE" w14:textId="77777777">
        <w:trPr>
          <w:trHeight w:hRule="exact" w:val="78"/>
        </w:trPr>
        <w:tc>
          <w:tcPr>
            <w:tcW w:w="1744" w:type="dxa"/>
            <w:tcBorders>
              <w:top w:val="nil"/>
              <w:left w:val="nil"/>
              <w:bottom w:val="double" w:sz="6" w:space="2" w:color="auto"/>
              <w:right w:val="nil"/>
            </w:tcBorders>
            <w:vAlign w:val="bottom"/>
          </w:tcPr>
          <w:p w14:paraId="64B8800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151510C6"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6431292F"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4D05E53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7636389A"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35E8F1A6" w14:textId="77777777">
        <w:trPr>
          <w:trHeight w:hRule="exact" w:val="117"/>
        </w:trPr>
        <w:tc>
          <w:tcPr>
            <w:tcW w:w="1744" w:type="dxa"/>
            <w:tcBorders>
              <w:top w:val="nil"/>
              <w:left w:val="nil"/>
              <w:bottom w:val="nil"/>
              <w:right w:val="nil"/>
            </w:tcBorders>
            <w:vAlign w:val="bottom"/>
          </w:tcPr>
          <w:p w14:paraId="7169070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654066EC"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72B94678"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48D16886"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24A3AB22"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5EE28501" w14:textId="77777777" w:rsidTr="005C7C31">
        <w:trPr>
          <w:trHeight w:val="196"/>
        </w:trPr>
        <w:tc>
          <w:tcPr>
            <w:tcW w:w="5657" w:type="dxa"/>
            <w:gridSpan w:val="5"/>
            <w:tcBorders>
              <w:top w:val="nil"/>
              <w:left w:val="nil"/>
              <w:bottom w:val="nil"/>
              <w:right w:val="nil"/>
            </w:tcBorders>
            <w:vAlign w:val="bottom"/>
          </w:tcPr>
          <w:p w14:paraId="448B2CEB"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Transition Matrix Parameters</w:t>
            </w:r>
          </w:p>
        </w:tc>
      </w:tr>
      <w:tr w:rsidR="005C7C31" w14:paraId="483EDDBB" w14:textId="77777777">
        <w:trPr>
          <w:trHeight w:hRule="exact" w:val="78"/>
        </w:trPr>
        <w:tc>
          <w:tcPr>
            <w:tcW w:w="1744" w:type="dxa"/>
            <w:tcBorders>
              <w:top w:val="nil"/>
              <w:left w:val="nil"/>
              <w:bottom w:val="double" w:sz="6" w:space="2" w:color="auto"/>
              <w:right w:val="nil"/>
            </w:tcBorders>
            <w:vAlign w:val="bottom"/>
          </w:tcPr>
          <w:p w14:paraId="331554CD"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5463035B"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75848D73"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79337B58"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470FE7DD"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344B2B67" w14:textId="77777777">
        <w:trPr>
          <w:trHeight w:hRule="exact" w:val="117"/>
        </w:trPr>
        <w:tc>
          <w:tcPr>
            <w:tcW w:w="1744" w:type="dxa"/>
            <w:tcBorders>
              <w:top w:val="nil"/>
              <w:left w:val="nil"/>
              <w:bottom w:val="nil"/>
              <w:right w:val="nil"/>
            </w:tcBorders>
            <w:vAlign w:val="bottom"/>
          </w:tcPr>
          <w:p w14:paraId="2ECD1D9C"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0DF5B8E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26C21CA1"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7FD1094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115CE85E"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517ED5F3" w14:textId="77777777">
        <w:trPr>
          <w:trHeight w:val="196"/>
        </w:trPr>
        <w:tc>
          <w:tcPr>
            <w:tcW w:w="1744" w:type="dxa"/>
            <w:tcBorders>
              <w:top w:val="nil"/>
              <w:left w:val="nil"/>
              <w:bottom w:val="nil"/>
              <w:right w:val="nil"/>
            </w:tcBorders>
            <w:vAlign w:val="bottom"/>
          </w:tcPr>
          <w:p w14:paraId="42CCCC4F"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P11-C</w:t>
            </w:r>
          </w:p>
        </w:tc>
        <w:tc>
          <w:tcPr>
            <w:tcW w:w="956" w:type="dxa"/>
            <w:tcBorders>
              <w:top w:val="nil"/>
              <w:left w:val="nil"/>
              <w:bottom w:val="nil"/>
              <w:right w:val="nil"/>
            </w:tcBorders>
            <w:vAlign w:val="bottom"/>
          </w:tcPr>
          <w:p w14:paraId="45C6CDE3"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5.228732</w:t>
            </w:r>
          </w:p>
        </w:tc>
        <w:tc>
          <w:tcPr>
            <w:tcW w:w="1046" w:type="dxa"/>
            <w:tcBorders>
              <w:top w:val="nil"/>
              <w:left w:val="nil"/>
              <w:bottom w:val="nil"/>
              <w:right w:val="nil"/>
            </w:tcBorders>
            <w:vAlign w:val="bottom"/>
          </w:tcPr>
          <w:p w14:paraId="76D55979"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0.961162</w:t>
            </w:r>
          </w:p>
        </w:tc>
        <w:tc>
          <w:tcPr>
            <w:tcW w:w="1047" w:type="dxa"/>
            <w:tcBorders>
              <w:top w:val="nil"/>
              <w:left w:val="nil"/>
              <w:bottom w:val="nil"/>
              <w:right w:val="nil"/>
            </w:tcBorders>
            <w:vAlign w:val="bottom"/>
          </w:tcPr>
          <w:p w14:paraId="71D67941"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5.440012</w:t>
            </w:r>
          </w:p>
        </w:tc>
        <w:tc>
          <w:tcPr>
            <w:tcW w:w="864" w:type="dxa"/>
            <w:tcBorders>
              <w:top w:val="nil"/>
              <w:left w:val="nil"/>
              <w:bottom w:val="nil"/>
              <w:right w:val="nil"/>
            </w:tcBorders>
            <w:vAlign w:val="bottom"/>
          </w:tcPr>
          <w:p w14:paraId="4BF6AE05"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4F04DCA0" w14:textId="77777777">
        <w:trPr>
          <w:trHeight w:val="196"/>
        </w:trPr>
        <w:tc>
          <w:tcPr>
            <w:tcW w:w="1744" w:type="dxa"/>
            <w:tcBorders>
              <w:top w:val="nil"/>
              <w:left w:val="nil"/>
              <w:bottom w:val="nil"/>
              <w:right w:val="nil"/>
            </w:tcBorders>
            <w:vAlign w:val="bottom"/>
          </w:tcPr>
          <w:p w14:paraId="09E2A6D8"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P12-C</w:t>
            </w:r>
          </w:p>
        </w:tc>
        <w:tc>
          <w:tcPr>
            <w:tcW w:w="956" w:type="dxa"/>
            <w:tcBorders>
              <w:top w:val="nil"/>
              <w:left w:val="nil"/>
              <w:bottom w:val="nil"/>
              <w:right w:val="nil"/>
            </w:tcBorders>
            <w:vAlign w:val="bottom"/>
          </w:tcPr>
          <w:p w14:paraId="57275E98"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0.870704</w:t>
            </w:r>
          </w:p>
        </w:tc>
        <w:tc>
          <w:tcPr>
            <w:tcW w:w="1046" w:type="dxa"/>
            <w:tcBorders>
              <w:top w:val="nil"/>
              <w:left w:val="nil"/>
              <w:bottom w:val="nil"/>
              <w:right w:val="nil"/>
            </w:tcBorders>
            <w:vAlign w:val="bottom"/>
          </w:tcPr>
          <w:p w14:paraId="1C64DAEB"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1.194852</w:t>
            </w:r>
          </w:p>
        </w:tc>
        <w:tc>
          <w:tcPr>
            <w:tcW w:w="1047" w:type="dxa"/>
            <w:tcBorders>
              <w:top w:val="nil"/>
              <w:left w:val="nil"/>
              <w:bottom w:val="nil"/>
              <w:right w:val="nil"/>
            </w:tcBorders>
            <w:vAlign w:val="bottom"/>
          </w:tcPr>
          <w:p w14:paraId="642F19D9"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0.728713</w:t>
            </w:r>
          </w:p>
        </w:tc>
        <w:tc>
          <w:tcPr>
            <w:tcW w:w="864" w:type="dxa"/>
            <w:tcBorders>
              <w:top w:val="nil"/>
              <w:left w:val="nil"/>
              <w:bottom w:val="nil"/>
              <w:right w:val="nil"/>
            </w:tcBorders>
            <w:vAlign w:val="bottom"/>
          </w:tcPr>
          <w:p w14:paraId="7DFF87AC"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0.4662</w:t>
            </w:r>
          </w:p>
        </w:tc>
      </w:tr>
      <w:tr w:rsidR="005C7C31" w14:paraId="78565BF6" w14:textId="77777777">
        <w:trPr>
          <w:trHeight w:val="196"/>
        </w:trPr>
        <w:tc>
          <w:tcPr>
            <w:tcW w:w="1744" w:type="dxa"/>
            <w:tcBorders>
              <w:top w:val="nil"/>
              <w:left w:val="nil"/>
              <w:bottom w:val="nil"/>
              <w:right w:val="nil"/>
            </w:tcBorders>
            <w:vAlign w:val="bottom"/>
          </w:tcPr>
          <w:p w14:paraId="0890CBCE"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P21-C</w:t>
            </w:r>
          </w:p>
        </w:tc>
        <w:tc>
          <w:tcPr>
            <w:tcW w:w="956" w:type="dxa"/>
            <w:tcBorders>
              <w:top w:val="nil"/>
              <w:left w:val="nil"/>
              <w:bottom w:val="nil"/>
              <w:right w:val="nil"/>
            </w:tcBorders>
            <w:vAlign w:val="bottom"/>
          </w:tcPr>
          <w:p w14:paraId="35E763F8"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-0.045753</w:t>
            </w:r>
          </w:p>
        </w:tc>
        <w:tc>
          <w:tcPr>
            <w:tcW w:w="1046" w:type="dxa"/>
            <w:tcBorders>
              <w:top w:val="nil"/>
              <w:left w:val="nil"/>
              <w:bottom w:val="nil"/>
              <w:right w:val="nil"/>
            </w:tcBorders>
            <w:vAlign w:val="bottom"/>
          </w:tcPr>
          <w:p w14:paraId="08F2FB89"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0.823046</w:t>
            </w:r>
          </w:p>
        </w:tc>
        <w:tc>
          <w:tcPr>
            <w:tcW w:w="1047" w:type="dxa"/>
            <w:tcBorders>
              <w:top w:val="nil"/>
              <w:left w:val="nil"/>
              <w:bottom w:val="nil"/>
              <w:right w:val="nil"/>
            </w:tcBorders>
            <w:vAlign w:val="bottom"/>
          </w:tcPr>
          <w:p w14:paraId="6CA87376"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-0.055590</w:t>
            </w:r>
          </w:p>
        </w:tc>
        <w:tc>
          <w:tcPr>
            <w:tcW w:w="864" w:type="dxa"/>
            <w:tcBorders>
              <w:top w:val="nil"/>
              <w:left w:val="nil"/>
              <w:bottom w:val="nil"/>
              <w:right w:val="nil"/>
            </w:tcBorders>
            <w:vAlign w:val="bottom"/>
          </w:tcPr>
          <w:p w14:paraId="156254A8"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0.9557</w:t>
            </w:r>
          </w:p>
        </w:tc>
      </w:tr>
      <w:tr w:rsidR="005C7C31" w14:paraId="1E38E756" w14:textId="77777777">
        <w:trPr>
          <w:trHeight w:val="196"/>
        </w:trPr>
        <w:tc>
          <w:tcPr>
            <w:tcW w:w="1744" w:type="dxa"/>
            <w:tcBorders>
              <w:top w:val="nil"/>
              <w:left w:val="nil"/>
              <w:bottom w:val="nil"/>
              <w:right w:val="nil"/>
            </w:tcBorders>
            <w:vAlign w:val="bottom"/>
          </w:tcPr>
          <w:p w14:paraId="2412EFA5"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P22-C</w:t>
            </w:r>
          </w:p>
        </w:tc>
        <w:tc>
          <w:tcPr>
            <w:tcW w:w="956" w:type="dxa"/>
            <w:tcBorders>
              <w:top w:val="nil"/>
              <w:left w:val="nil"/>
              <w:bottom w:val="nil"/>
              <w:right w:val="nil"/>
            </w:tcBorders>
            <w:vAlign w:val="bottom"/>
          </w:tcPr>
          <w:p w14:paraId="0580496A"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3.823105</w:t>
            </w:r>
          </w:p>
        </w:tc>
        <w:tc>
          <w:tcPr>
            <w:tcW w:w="1046" w:type="dxa"/>
            <w:tcBorders>
              <w:top w:val="nil"/>
              <w:left w:val="nil"/>
              <w:bottom w:val="nil"/>
              <w:right w:val="nil"/>
            </w:tcBorders>
            <w:vAlign w:val="bottom"/>
          </w:tcPr>
          <w:p w14:paraId="258D0B07"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0.614132</w:t>
            </w:r>
          </w:p>
        </w:tc>
        <w:tc>
          <w:tcPr>
            <w:tcW w:w="1047" w:type="dxa"/>
            <w:tcBorders>
              <w:top w:val="nil"/>
              <w:left w:val="nil"/>
              <w:bottom w:val="nil"/>
              <w:right w:val="nil"/>
            </w:tcBorders>
            <w:vAlign w:val="bottom"/>
          </w:tcPr>
          <w:p w14:paraId="2EECC2C4"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6.225220</w:t>
            </w:r>
          </w:p>
        </w:tc>
        <w:tc>
          <w:tcPr>
            <w:tcW w:w="864" w:type="dxa"/>
            <w:tcBorders>
              <w:top w:val="nil"/>
              <w:left w:val="nil"/>
              <w:bottom w:val="nil"/>
              <w:right w:val="nil"/>
            </w:tcBorders>
            <w:vAlign w:val="bottom"/>
          </w:tcPr>
          <w:p w14:paraId="4BF8AE06"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77FD0075" w14:textId="77777777">
        <w:trPr>
          <w:trHeight w:val="196"/>
        </w:trPr>
        <w:tc>
          <w:tcPr>
            <w:tcW w:w="1744" w:type="dxa"/>
            <w:tcBorders>
              <w:top w:val="nil"/>
              <w:left w:val="nil"/>
              <w:bottom w:val="nil"/>
              <w:right w:val="nil"/>
            </w:tcBorders>
            <w:vAlign w:val="bottom"/>
          </w:tcPr>
          <w:p w14:paraId="080F88D7"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P31-C</w:t>
            </w:r>
          </w:p>
        </w:tc>
        <w:tc>
          <w:tcPr>
            <w:tcW w:w="956" w:type="dxa"/>
            <w:tcBorders>
              <w:top w:val="nil"/>
              <w:left w:val="nil"/>
              <w:bottom w:val="nil"/>
              <w:right w:val="nil"/>
            </w:tcBorders>
            <w:vAlign w:val="bottom"/>
          </w:tcPr>
          <w:p w14:paraId="5701553B"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-11.52074</w:t>
            </w:r>
          </w:p>
        </w:tc>
        <w:tc>
          <w:tcPr>
            <w:tcW w:w="1046" w:type="dxa"/>
            <w:tcBorders>
              <w:top w:val="nil"/>
              <w:left w:val="nil"/>
              <w:bottom w:val="nil"/>
              <w:right w:val="nil"/>
            </w:tcBorders>
            <w:vAlign w:val="bottom"/>
          </w:tcPr>
          <w:p w14:paraId="692F89F4"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42.31433</w:t>
            </w:r>
          </w:p>
        </w:tc>
        <w:tc>
          <w:tcPr>
            <w:tcW w:w="1047" w:type="dxa"/>
            <w:tcBorders>
              <w:top w:val="nil"/>
              <w:left w:val="nil"/>
              <w:bottom w:val="nil"/>
              <w:right w:val="nil"/>
            </w:tcBorders>
            <w:vAlign w:val="bottom"/>
          </w:tcPr>
          <w:p w14:paraId="5FCC4775"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-0.272266</w:t>
            </w:r>
          </w:p>
        </w:tc>
        <w:tc>
          <w:tcPr>
            <w:tcW w:w="864" w:type="dxa"/>
            <w:tcBorders>
              <w:top w:val="nil"/>
              <w:left w:val="nil"/>
              <w:bottom w:val="nil"/>
              <w:right w:val="nil"/>
            </w:tcBorders>
            <w:vAlign w:val="bottom"/>
          </w:tcPr>
          <w:p w14:paraId="3ADE29F9"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0.7854</w:t>
            </w:r>
          </w:p>
        </w:tc>
      </w:tr>
      <w:tr w:rsidR="005C7C31" w14:paraId="2CF38768" w14:textId="77777777">
        <w:trPr>
          <w:trHeight w:val="196"/>
        </w:trPr>
        <w:tc>
          <w:tcPr>
            <w:tcW w:w="1744" w:type="dxa"/>
            <w:tcBorders>
              <w:top w:val="nil"/>
              <w:left w:val="nil"/>
              <w:bottom w:val="nil"/>
              <w:right w:val="nil"/>
            </w:tcBorders>
            <w:vAlign w:val="bottom"/>
          </w:tcPr>
          <w:p w14:paraId="400781E3" w14:textId="77777777" w:rsidR="005C7C31" w:rsidRDefault="005C7C31">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P32-C</w:t>
            </w:r>
          </w:p>
        </w:tc>
        <w:tc>
          <w:tcPr>
            <w:tcW w:w="956" w:type="dxa"/>
            <w:tcBorders>
              <w:top w:val="nil"/>
              <w:left w:val="nil"/>
              <w:bottom w:val="nil"/>
              <w:right w:val="nil"/>
            </w:tcBorders>
            <w:vAlign w:val="bottom"/>
          </w:tcPr>
          <w:p w14:paraId="7B0EC531"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-2.379374</w:t>
            </w:r>
          </w:p>
        </w:tc>
        <w:tc>
          <w:tcPr>
            <w:tcW w:w="1046" w:type="dxa"/>
            <w:tcBorders>
              <w:top w:val="nil"/>
              <w:left w:val="nil"/>
              <w:bottom w:val="nil"/>
              <w:right w:val="nil"/>
            </w:tcBorders>
            <w:vAlign w:val="bottom"/>
          </w:tcPr>
          <w:p w14:paraId="00AFDFF1"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0.536109</w:t>
            </w:r>
          </w:p>
        </w:tc>
        <w:tc>
          <w:tcPr>
            <w:tcW w:w="1047" w:type="dxa"/>
            <w:tcBorders>
              <w:top w:val="nil"/>
              <w:left w:val="nil"/>
              <w:bottom w:val="nil"/>
              <w:right w:val="nil"/>
            </w:tcBorders>
            <w:vAlign w:val="bottom"/>
          </w:tcPr>
          <w:p w14:paraId="762ECCD5"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-4.438227</w:t>
            </w:r>
          </w:p>
        </w:tc>
        <w:tc>
          <w:tcPr>
            <w:tcW w:w="864" w:type="dxa"/>
            <w:tcBorders>
              <w:top w:val="nil"/>
              <w:left w:val="nil"/>
              <w:bottom w:val="nil"/>
              <w:right w:val="nil"/>
            </w:tcBorders>
            <w:vAlign w:val="bottom"/>
          </w:tcPr>
          <w:p w14:paraId="7C74EEA1"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0.0000</w:t>
            </w:r>
          </w:p>
        </w:tc>
      </w:tr>
      <w:tr w:rsidR="005C7C31" w14:paraId="72251CD1" w14:textId="77777777">
        <w:trPr>
          <w:trHeight w:hRule="exact" w:val="78"/>
        </w:trPr>
        <w:tc>
          <w:tcPr>
            <w:tcW w:w="1744" w:type="dxa"/>
            <w:tcBorders>
              <w:top w:val="nil"/>
              <w:left w:val="nil"/>
              <w:bottom w:val="double" w:sz="6" w:space="2" w:color="auto"/>
              <w:right w:val="nil"/>
            </w:tcBorders>
            <w:vAlign w:val="bottom"/>
          </w:tcPr>
          <w:p w14:paraId="159E706F"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2" w:color="auto"/>
              <w:right w:val="nil"/>
            </w:tcBorders>
            <w:vAlign w:val="bottom"/>
          </w:tcPr>
          <w:p w14:paraId="7A4C090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2" w:color="auto"/>
              <w:right w:val="nil"/>
            </w:tcBorders>
            <w:vAlign w:val="bottom"/>
          </w:tcPr>
          <w:p w14:paraId="5202F59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2" w:color="auto"/>
              <w:right w:val="nil"/>
            </w:tcBorders>
            <w:vAlign w:val="bottom"/>
          </w:tcPr>
          <w:p w14:paraId="56943D34"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2" w:color="auto"/>
              <w:right w:val="nil"/>
            </w:tcBorders>
            <w:vAlign w:val="bottom"/>
          </w:tcPr>
          <w:p w14:paraId="0FFCD932"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43D97E5F" w14:textId="77777777">
        <w:trPr>
          <w:trHeight w:hRule="exact" w:val="117"/>
        </w:trPr>
        <w:tc>
          <w:tcPr>
            <w:tcW w:w="1744" w:type="dxa"/>
            <w:tcBorders>
              <w:top w:val="nil"/>
              <w:left w:val="nil"/>
              <w:bottom w:val="nil"/>
              <w:right w:val="nil"/>
            </w:tcBorders>
            <w:vAlign w:val="bottom"/>
          </w:tcPr>
          <w:p w14:paraId="14CF6CF9"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7494476C"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7784F88F"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43408FBE"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1ED7475D"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00E19E00" w14:textId="77777777" w:rsidTr="005C7C31">
        <w:trPr>
          <w:trHeight w:val="196"/>
        </w:trPr>
        <w:tc>
          <w:tcPr>
            <w:tcW w:w="1744" w:type="dxa"/>
            <w:tcBorders>
              <w:top w:val="nil"/>
              <w:left w:val="nil"/>
              <w:bottom w:val="nil"/>
              <w:right w:val="nil"/>
            </w:tcBorders>
            <w:vAlign w:val="bottom"/>
          </w:tcPr>
          <w:p w14:paraId="09D1D636"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Mean dependent var</w:t>
            </w:r>
          </w:p>
        </w:tc>
        <w:tc>
          <w:tcPr>
            <w:tcW w:w="956" w:type="dxa"/>
            <w:tcBorders>
              <w:top w:val="nil"/>
              <w:left w:val="nil"/>
              <w:bottom w:val="nil"/>
              <w:right w:val="nil"/>
            </w:tcBorders>
            <w:vAlign w:val="bottom"/>
          </w:tcPr>
          <w:p w14:paraId="521384F9"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3.398661</w:t>
            </w:r>
          </w:p>
        </w:tc>
        <w:tc>
          <w:tcPr>
            <w:tcW w:w="2093" w:type="dxa"/>
            <w:gridSpan w:val="2"/>
            <w:tcBorders>
              <w:top w:val="nil"/>
              <w:left w:val="nil"/>
              <w:bottom w:val="nil"/>
              <w:right w:val="nil"/>
            </w:tcBorders>
            <w:vAlign w:val="bottom"/>
          </w:tcPr>
          <w:p w14:paraId="51E11681" w14:textId="1B5E394C" w:rsidR="005C7C31" w:rsidRDefault="005C7C31">
            <w:pPr>
              <w:autoSpaceDE w:val="0"/>
              <w:autoSpaceDN w:val="0"/>
              <w:adjustRightInd w:val="0"/>
              <w:ind w:right="30"/>
              <w:rPr>
                <w:rFonts w:ascii="Arial" w:eastAsiaTheme="minorHAnsi" w:hAnsi="Arial" w:cs="Arial"/>
                <w:color w:val="000000"/>
                <w:sz w:val="18"/>
                <w:szCs w:val="18"/>
              </w:rPr>
            </w:pPr>
            <w:r>
              <w:rPr>
                <w:rFonts w:ascii="Arial" w:eastAsiaTheme="minorHAnsi" w:hAnsi="Arial" w:cs="Arial"/>
                <w:color w:val="000000"/>
                <w:sz w:val="18"/>
                <w:szCs w:val="18"/>
              </w:rPr>
              <w:t>    </w:t>
            </w:r>
            <w:r w:rsidR="00D91A73">
              <w:rPr>
                <w:rFonts w:ascii="Arial" w:eastAsiaTheme="minorHAnsi" w:hAnsi="Arial" w:cs="Arial"/>
                <w:color w:val="000000"/>
                <w:sz w:val="18"/>
                <w:szCs w:val="18"/>
              </w:rPr>
              <w:t>S.D.</w:t>
            </w:r>
            <w:r>
              <w:rPr>
                <w:rFonts w:ascii="Arial" w:eastAsiaTheme="minorHAnsi" w:hAnsi="Arial" w:cs="Arial"/>
                <w:color w:val="000000"/>
                <w:sz w:val="18"/>
                <w:szCs w:val="18"/>
              </w:rPr>
              <w:t xml:space="preserve"> dependent var</w:t>
            </w:r>
          </w:p>
        </w:tc>
        <w:tc>
          <w:tcPr>
            <w:tcW w:w="864" w:type="dxa"/>
            <w:tcBorders>
              <w:top w:val="nil"/>
              <w:left w:val="nil"/>
              <w:bottom w:val="nil"/>
              <w:right w:val="nil"/>
            </w:tcBorders>
            <w:vAlign w:val="bottom"/>
          </w:tcPr>
          <w:p w14:paraId="1D0C6DEB"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0.871952</w:t>
            </w:r>
          </w:p>
        </w:tc>
      </w:tr>
      <w:tr w:rsidR="005C7C31" w14:paraId="0928F127" w14:textId="77777777" w:rsidTr="005C7C31">
        <w:trPr>
          <w:trHeight w:val="196"/>
        </w:trPr>
        <w:tc>
          <w:tcPr>
            <w:tcW w:w="1744" w:type="dxa"/>
            <w:tcBorders>
              <w:top w:val="nil"/>
              <w:left w:val="nil"/>
              <w:bottom w:val="nil"/>
              <w:right w:val="nil"/>
            </w:tcBorders>
            <w:vAlign w:val="bottom"/>
          </w:tcPr>
          <w:p w14:paraId="6A77205E" w14:textId="19EE3DCE" w:rsidR="005C7C31" w:rsidRDefault="00D91A73">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S.E.</w:t>
            </w:r>
            <w:r w:rsidR="005C7C31">
              <w:rPr>
                <w:rFonts w:ascii="Arial" w:eastAsiaTheme="minorHAnsi" w:hAnsi="Arial" w:cs="Arial"/>
                <w:color w:val="000000"/>
                <w:sz w:val="18"/>
                <w:szCs w:val="18"/>
              </w:rPr>
              <w:t xml:space="preserve"> of regression</w:t>
            </w:r>
          </w:p>
        </w:tc>
        <w:tc>
          <w:tcPr>
            <w:tcW w:w="956" w:type="dxa"/>
            <w:tcBorders>
              <w:top w:val="nil"/>
              <w:left w:val="nil"/>
              <w:bottom w:val="nil"/>
              <w:right w:val="nil"/>
            </w:tcBorders>
            <w:vAlign w:val="bottom"/>
          </w:tcPr>
          <w:p w14:paraId="7721A318"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0.459022</w:t>
            </w:r>
          </w:p>
        </w:tc>
        <w:tc>
          <w:tcPr>
            <w:tcW w:w="2093" w:type="dxa"/>
            <w:gridSpan w:val="2"/>
            <w:tcBorders>
              <w:top w:val="nil"/>
              <w:left w:val="nil"/>
              <w:bottom w:val="nil"/>
              <w:right w:val="nil"/>
            </w:tcBorders>
            <w:vAlign w:val="bottom"/>
          </w:tcPr>
          <w:p w14:paraId="607AB911" w14:textId="77777777" w:rsidR="005C7C31" w:rsidRDefault="005C7C31">
            <w:pPr>
              <w:autoSpaceDE w:val="0"/>
              <w:autoSpaceDN w:val="0"/>
              <w:adjustRightInd w:val="0"/>
              <w:ind w:right="30"/>
              <w:rPr>
                <w:rFonts w:ascii="Arial" w:eastAsiaTheme="minorHAnsi" w:hAnsi="Arial" w:cs="Arial"/>
                <w:color w:val="000000"/>
                <w:sz w:val="18"/>
                <w:szCs w:val="18"/>
              </w:rPr>
            </w:pPr>
            <w:r>
              <w:rPr>
                <w:rFonts w:ascii="Arial" w:eastAsiaTheme="minorHAnsi" w:hAnsi="Arial" w:cs="Arial"/>
                <w:color w:val="000000"/>
                <w:sz w:val="18"/>
                <w:szCs w:val="18"/>
              </w:rPr>
              <w:t xml:space="preserve">    Sum squared </w:t>
            </w:r>
            <w:proofErr w:type="spellStart"/>
            <w:r>
              <w:rPr>
                <w:rFonts w:ascii="Arial" w:eastAsiaTheme="minorHAnsi" w:hAnsi="Arial" w:cs="Arial"/>
                <w:color w:val="000000"/>
                <w:sz w:val="18"/>
                <w:szCs w:val="18"/>
              </w:rPr>
              <w:t>resid</w:t>
            </w:r>
            <w:proofErr w:type="spellEnd"/>
          </w:p>
        </w:tc>
        <w:tc>
          <w:tcPr>
            <w:tcW w:w="864" w:type="dxa"/>
            <w:tcBorders>
              <w:top w:val="nil"/>
              <w:left w:val="nil"/>
              <w:bottom w:val="nil"/>
              <w:right w:val="nil"/>
            </w:tcBorders>
            <w:vAlign w:val="bottom"/>
          </w:tcPr>
          <w:p w14:paraId="1CF8A043"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97.55474</w:t>
            </w:r>
          </w:p>
        </w:tc>
      </w:tr>
      <w:tr w:rsidR="005C7C31" w14:paraId="57FA2603" w14:textId="77777777" w:rsidTr="005C7C31">
        <w:trPr>
          <w:trHeight w:val="196"/>
        </w:trPr>
        <w:tc>
          <w:tcPr>
            <w:tcW w:w="1744" w:type="dxa"/>
            <w:tcBorders>
              <w:top w:val="nil"/>
              <w:left w:val="nil"/>
              <w:bottom w:val="nil"/>
              <w:right w:val="nil"/>
            </w:tcBorders>
            <w:vAlign w:val="bottom"/>
          </w:tcPr>
          <w:p w14:paraId="02B80B3C"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Durbin-Watson stat</w:t>
            </w:r>
          </w:p>
        </w:tc>
        <w:tc>
          <w:tcPr>
            <w:tcW w:w="956" w:type="dxa"/>
            <w:tcBorders>
              <w:top w:val="nil"/>
              <w:left w:val="nil"/>
              <w:bottom w:val="nil"/>
              <w:right w:val="nil"/>
            </w:tcBorders>
            <w:vAlign w:val="bottom"/>
          </w:tcPr>
          <w:p w14:paraId="6993BAC3"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0.654502</w:t>
            </w:r>
          </w:p>
        </w:tc>
        <w:tc>
          <w:tcPr>
            <w:tcW w:w="2093" w:type="dxa"/>
            <w:gridSpan w:val="2"/>
            <w:tcBorders>
              <w:top w:val="nil"/>
              <w:left w:val="nil"/>
              <w:bottom w:val="nil"/>
              <w:right w:val="nil"/>
            </w:tcBorders>
            <w:vAlign w:val="bottom"/>
          </w:tcPr>
          <w:p w14:paraId="6370ACFF" w14:textId="77777777" w:rsidR="005C7C31" w:rsidRDefault="005C7C31">
            <w:pPr>
              <w:autoSpaceDE w:val="0"/>
              <w:autoSpaceDN w:val="0"/>
              <w:adjustRightInd w:val="0"/>
              <w:ind w:right="30"/>
              <w:rPr>
                <w:rFonts w:ascii="Arial" w:eastAsiaTheme="minorHAnsi" w:hAnsi="Arial" w:cs="Arial"/>
                <w:color w:val="000000"/>
                <w:sz w:val="18"/>
                <w:szCs w:val="18"/>
              </w:rPr>
            </w:pPr>
            <w:r>
              <w:rPr>
                <w:rFonts w:ascii="Arial" w:eastAsiaTheme="minorHAnsi" w:hAnsi="Arial" w:cs="Arial"/>
                <w:color w:val="000000"/>
                <w:sz w:val="18"/>
                <w:szCs w:val="18"/>
              </w:rPr>
              <w:t>    Log likelihood</w:t>
            </w:r>
          </w:p>
        </w:tc>
        <w:tc>
          <w:tcPr>
            <w:tcW w:w="864" w:type="dxa"/>
            <w:tcBorders>
              <w:top w:val="nil"/>
              <w:left w:val="nil"/>
              <w:bottom w:val="nil"/>
              <w:right w:val="nil"/>
            </w:tcBorders>
            <w:vAlign w:val="bottom"/>
          </w:tcPr>
          <w:p w14:paraId="2AA6B1A7"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-297.1593</w:t>
            </w:r>
          </w:p>
        </w:tc>
      </w:tr>
      <w:tr w:rsidR="005C7C31" w14:paraId="30AA0A7F" w14:textId="77777777" w:rsidTr="005C7C31">
        <w:trPr>
          <w:trHeight w:val="196"/>
        </w:trPr>
        <w:tc>
          <w:tcPr>
            <w:tcW w:w="1744" w:type="dxa"/>
            <w:tcBorders>
              <w:top w:val="nil"/>
              <w:left w:val="nil"/>
              <w:bottom w:val="nil"/>
              <w:right w:val="nil"/>
            </w:tcBorders>
            <w:vAlign w:val="bottom"/>
          </w:tcPr>
          <w:p w14:paraId="329132D5"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Akaike info criterion</w:t>
            </w:r>
          </w:p>
        </w:tc>
        <w:tc>
          <w:tcPr>
            <w:tcW w:w="956" w:type="dxa"/>
            <w:tcBorders>
              <w:top w:val="nil"/>
              <w:left w:val="nil"/>
              <w:bottom w:val="nil"/>
              <w:right w:val="nil"/>
            </w:tcBorders>
            <w:vAlign w:val="bottom"/>
          </w:tcPr>
          <w:p w14:paraId="0757E4E2"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1.319827</w:t>
            </w:r>
          </w:p>
        </w:tc>
        <w:tc>
          <w:tcPr>
            <w:tcW w:w="2093" w:type="dxa"/>
            <w:gridSpan w:val="2"/>
            <w:tcBorders>
              <w:top w:val="nil"/>
              <w:left w:val="nil"/>
              <w:bottom w:val="nil"/>
              <w:right w:val="nil"/>
            </w:tcBorders>
            <w:vAlign w:val="bottom"/>
          </w:tcPr>
          <w:p w14:paraId="51F45ADD" w14:textId="77777777" w:rsidR="005C7C31" w:rsidRDefault="005C7C31">
            <w:pPr>
              <w:autoSpaceDE w:val="0"/>
              <w:autoSpaceDN w:val="0"/>
              <w:adjustRightInd w:val="0"/>
              <w:ind w:right="30"/>
              <w:rPr>
                <w:rFonts w:ascii="Arial" w:eastAsiaTheme="minorHAnsi" w:hAnsi="Arial" w:cs="Arial"/>
                <w:color w:val="000000"/>
                <w:sz w:val="18"/>
                <w:szCs w:val="18"/>
              </w:rPr>
            </w:pPr>
            <w:r>
              <w:rPr>
                <w:rFonts w:ascii="Arial" w:eastAsiaTheme="minorHAnsi" w:hAnsi="Arial" w:cs="Arial"/>
                <w:color w:val="000000"/>
                <w:sz w:val="18"/>
                <w:szCs w:val="18"/>
              </w:rPr>
              <w:t>    Schwarz criterion</w:t>
            </w:r>
          </w:p>
        </w:tc>
        <w:tc>
          <w:tcPr>
            <w:tcW w:w="864" w:type="dxa"/>
            <w:tcBorders>
              <w:top w:val="nil"/>
              <w:left w:val="nil"/>
              <w:bottom w:val="nil"/>
              <w:right w:val="nil"/>
            </w:tcBorders>
            <w:vAlign w:val="bottom"/>
          </w:tcPr>
          <w:p w14:paraId="31CD6BB7"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1.434690</w:t>
            </w:r>
          </w:p>
        </w:tc>
      </w:tr>
      <w:tr w:rsidR="005C7C31" w14:paraId="475895F5" w14:textId="77777777">
        <w:trPr>
          <w:trHeight w:val="196"/>
        </w:trPr>
        <w:tc>
          <w:tcPr>
            <w:tcW w:w="1744" w:type="dxa"/>
            <w:tcBorders>
              <w:top w:val="nil"/>
              <w:left w:val="nil"/>
              <w:bottom w:val="nil"/>
              <w:right w:val="nil"/>
            </w:tcBorders>
            <w:vAlign w:val="bottom"/>
          </w:tcPr>
          <w:p w14:paraId="06617AC3" w14:textId="77777777" w:rsidR="005C7C31" w:rsidRDefault="005C7C31">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 xml:space="preserve">Hannan-Quinn </w:t>
            </w:r>
            <w:proofErr w:type="spellStart"/>
            <w:r>
              <w:rPr>
                <w:rFonts w:ascii="Arial" w:eastAsiaTheme="minorHAnsi" w:hAnsi="Arial" w:cs="Arial"/>
                <w:color w:val="000000"/>
                <w:sz w:val="18"/>
                <w:szCs w:val="18"/>
              </w:rPr>
              <w:t>criter</w:t>
            </w:r>
            <w:proofErr w:type="spellEnd"/>
            <w:r>
              <w:rPr>
                <w:rFonts w:ascii="Arial" w:eastAsiaTheme="minorHAnsi" w:hAnsi="Arial" w:cs="Arial"/>
                <w:color w:val="000000"/>
                <w:sz w:val="18"/>
                <w:szCs w:val="18"/>
              </w:rPr>
              <w:t>.</w:t>
            </w:r>
          </w:p>
        </w:tc>
        <w:tc>
          <w:tcPr>
            <w:tcW w:w="956" w:type="dxa"/>
            <w:tcBorders>
              <w:top w:val="nil"/>
              <w:left w:val="nil"/>
              <w:bottom w:val="nil"/>
              <w:right w:val="nil"/>
            </w:tcBorders>
            <w:vAlign w:val="bottom"/>
          </w:tcPr>
          <w:p w14:paraId="64AF4F66" w14:textId="77777777" w:rsidR="005C7C31" w:rsidRDefault="005C7C31">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1.365017</w:t>
            </w:r>
          </w:p>
        </w:tc>
        <w:tc>
          <w:tcPr>
            <w:tcW w:w="1046" w:type="dxa"/>
            <w:tcBorders>
              <w:top w:val="nil"/>
              <w:left w:val="nil"/>
              <w:bottom w:val="nil"/>
              <w:right w:val="nil"/>
            </w:tcBorders>
            <w:vAlign w:val="bottom"/>
          </w:tcPr>
          <w:p w14:paraId="3485DD9D" w14:textId="77777777" w:rsidR="005C7C31" w:rsidRDefault="005C7C31">
            <w:pPr>
              <w:autoSpaceDE w:val="0"/>
              <w:autoSpaceDN w:val="0"/>
              <w:adjustRightInd w:val="0"/>
              <w:ind w:right="3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0E93968C" w14:textId="77777777" w:rsidR="005C7C31" w:rsidRDefault="005C7C31">
            <w:pPr>
              <w:autoSpaceDE w:val="0"/>
              <w:autoSpaceDN w:val="0"/>
              <w:adjustRightInd w:val="0"/>
              <w:ind w:right="3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4F03296A" w14:textId="77777777" w:rsidR="005C7C31" w:rsidRDefault="005C7C31">
            <w:pPr>
              <w:autoSpaceDE w:val="0"/>
              <w:autoSpaceDN w:val="0"/>
              <w:adjustRightInd w:val="0"/>
              <w:ind w:right="30"/>
              <w:jc w:val="center"/>
              <w:rPr>
                <w:rFonts w:ascii="Arial" w:eastAsiaTheme="minorHAnsi" w:hAnsi="Arial" w:cs="Arial"/>
                <w:color w:val="000000"/>
                <w:sz w:val="18"/>
                <w:szCs w:val="18"/>
              </w:rPr>
            </w:pPr>
          </w:p>
        </w:tc>
      </w:tr>
      <w:tr w:rsidR="005C7C31" w14:paraId="517E0275" w14:textId="77777777">
        <w:trPr>
          <w:trHeight w:hRule="exact" w:val="78"/>
        </w:trPr>
        <w:tc>
          <w:tcPr>
            <w:tcW w:w="1744" w:type="dxa"/>
            <w:tcBorders>
              <w:top w:val="nil"/>
              <w:left w:val="nil"/>
              <w:bottom w:val="double" w:sz="6" w:space="0" w:color="auto"/>
              <w:right w:val="nil"/>
            </w:tcBorders>
            <w:vAlign w:val="bottom"/>
          </w:tcPr>
          <w:p w14:paraId="2C7DB8AA"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double" w:sz="6" w:space="0" w:color="auto"/>
              <w:right w:val="nil"/>
            </w:tcBorders>
            <w:vAlign w:val="bottom"/>
          </w:tcPr>
          <w:p w14:paraId="6E22115F"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double" w:sz="6" w:space="0" w:color="auto"/>
              <w:right w:val="nil"/>
            </w:tcBorders>
            <w:vAlign w:val="bottom"/>
          </w:tcPr>
          <w:p w14:paraId="2C014B8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double" w:sz="6" w:space="0" w:color="auto"/>
              <w:right w:val="nil"/>
            </w:tcBorders>
            <w:vAlign w:val="bottom"/>
          </w:tcPr>
          <w:p w14:paraId="48BAF74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double" w:sz="6" w:space="0" w:color="auto"/>
              <w:right w:val="nil"/>
            </w:tcBorders>
            <w:vAlign w:val="bottom"/>
          </w:tcPr>
          <w:p w14:paraId="47ACF69F" w14:textId="77777777" w:rsidR="005C7C31" w:rsidRDefault="005C7C31">
            <w:pPr>
              <w:autoSpaceDE w:val="0"/>
              <w:autoSpaceDN w:val="0"/>
              <w:adjustRightInd w:val="0"/>
              <w:jc w:val="center"/>
              <w:rPr>
                <w:rFonts w:ascii="Arial" w:eastAsiaTheme="minorHAnsi" w:hAnsi="Arial" w:cs="Arial"/>
                <w:color w:val="000000"/>
                <w:sz w:val="18"/>
                <w:szCs w:val="18"/>
              </w:rPr>
            </w:pPr>
          </w:p>
        </w:tc>
      </w:tr>
      <w:tr w:rsidR="005C7C31" w14:paraId="7E3A8B38" w14:textId="77777777">
        <w:trPr>
          <w:trHeight w:hRule="exact" w:val="117"/>
        </w:trPr>
        <w:tc>
          <w:tcPr>
            <w:tcW w:w="1744" w:type="dxa"/>
            <w:tcBorders>
              <w:top w:val="nil"/>
              <w:left w:val="nil"/>
              <w:bottom w:val="nil"/>
              <w:right w:val="nil"/>
            </w:tcBorders>
            <w:vAlign w:val="bottom"/>
          </w:tcPr>
          <w:p w14:paraId="6A313465"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956" w:type="dxa"/>
            <w:tcBorders>
              <w:top w:val="nil"/>
              <w:left w:val="nil"/>
              <w:bottom w:val="nil"/>
              <w:right w:val="nil"/>
            </w:tcBorders>
            <w:vAlign w:val="bottom"/>
          </w:tcPr>
          <w:p w14:paraId="7CB3E420"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6" w:type="dxa"/>
            <w:tcBorders>
              <w:top w:val="nil"/>
              <w:left w:val="nil"/>
              <w:bottom w:val="nil"/>
              <w:right w:val="nil"/>
            </w:tcBorders>
            <w:vAlign w:val="bottom"/>
          </w:tcPr>
          <w:p w14:paraId="1C438CDF"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1047" w:type="dxa"/>
            <w:tcBorders>
              <w:top w:val="nil"/>
              <w:left w:val="nil"/>
              <w:bottom w:val="nil"/>
              <w:right w:val="nil"/>
            </w:tcBorders>
            <w:vAlign w:val="bottom"/>
          </w:tcPr>
          <w:p w14:paraId="66801A8E" w14:textId="77777777" w:rsidR="005C7C31" w:rsidRDefault="005C7C31">
            <w:pPr>
              <w:autoSpaceDE w:val="0"/>
              <w:autoSpaceDN w:val="0"/>
              <w:adjustRightInd w:val="0"/>
              <w:jc w:val="center"/>
              <w:rPr>
                <w:rFonts w:ascii="Arial" w:eastAsiaTheme="minorHAnsi" w:hAnsi="Arial" w:cs="Arial"/>
                <w:color w:val="000000"/>
                <w:sz w:val="18"/>
                <w:szCs w:val="18"/>
              </w:rPr>
            </w:pPr>
          </w:p>
        </w:tc>
        <w:tc>
          <w:tcPr>
            <w:tcW w:w="864" w:type="dxa"/>
            <w:tcBorders>
              <w:top w:val="nil"/>
              <w:left w:val="nil"/>
              <w:bottom w:val="nil"/>
              <w:right w:val="nil"/>
            </w:tcBorders>
            <w:vAlign w:val="bottom"/>
          </w:tcPr>
          <w:p w14:paraId="5B87A7BB" w14:textId="77777777" w:rsidR="005C7C31" w:rsidRDefault="005C7C31">
            <w:pPr>
              <w:autoSpaceDE w:val="0"/>
              <w:autoSpaceDN w:val="0"/>
              <w:adjustRightInd w:val="0"/>
              <w:jc w:val="center"/>
              <w:rPr>
                <w:rFonts w:ascii="Arial" w:eastAsiaTheme="minorHAnsi" w:hAnsi="Arial" w:cs="Arial"/>
                <w:color w:val="000000"/>
                <w:sz w:val="18"/>
                <w:szCs w:val="18"/>
              </w:rPr>
            </w:pPr>
          </w:p>
        </w:tc>
      </w:tr>
    </w:tbl>
    <w:p w14:paraId="137635B1" w14:textId="2509A555" w:rsidR="003B65EE" w:rsidRDefault="005C7C31" w:rsidP="003B65EE">
      <w:pPr>
        <w:autoSpaceDE w:val="0"/>
        <w:autoSpaceDN w:val="0"/>
        <w:adjustRightInd w:val="0"/>
        <w:rPr>
          <w:rFonts w:ascii="Arial" w:eastAsiaTheme="minorHAnsi" w:hAnsi="Arial" w:cs="Arial"/>
          <w:sz w:val="18"/>
          <w:szCs w:val="18"/>
        </w:rPr>
      </w:pPr>
      <w:r>
        <w:rPr>
          <w:rFonts w:ascii="Arial" w:eastAsiaTheme="minorHAnsi" w:hAnsi="Arial" w:cs="Arial"/>
          <w:sz w:val="18"/>
          <w:szCs w:val="18"/>
        </w:rPr>
        <w:br/>
      </w:r>
    </w:p>
    <w:p w14:paraId="7E187F19" w14:textId="0CD0DE64" w:rsidR="003B65EE" w:rsidRDefault="003B65EE" w:rsidP="003B65EE">
      <w:pPr>
        <w:autoSpaceDE w:val="0"/>
        <w:autoSpaceDN w:val="0"/>
        <w:adjustRightInd w:val="0"/>
        <w:rPr>
          <w:rFonts w:ascii="Arial" w:eastAsiaTheme="minorHAnsi" w:hAnsi="Arial" w:cs="Arial"/>
          <w:sz w:val="18"/>
          <w:szCs w:val="18"/>
        </w:rPr>
      </w:pPr>
    </w:p>
    <w:p w14:paraId="43F062FE" w14:textId="78127ABE" w:rsidR="003B65EE" w:rsidRDefault="003B65EE" w:rsidP="003B65EE">
      <w:pPr>
        <w:autoSpaceDE w:val="0"/>
        <w:autoSpaceDN w:val="0"/>
        <w:adjustRightInd w:val="0"/>
        <w:rPr>
          <w:rFonts w:ascii="Arial" w:eastAsiaTheme="minorHAnsi" w:hAnsi="Arial" w:cs="Arial"/>
          <w:sz w:val="18"/>
          <w:szCs w:val="18"/>
        </w:rPr>
      </w:pPr>
    </w:p>
    <w:p w14:paraId="77FBCE5F" w14:textId="1228FC63" w:rsidR="003B65EE" w:rsidRDefault="003B65EE" w:rsidP="003B65EE">
      <w:pPr>
        <w:autoSpaceDE w:val="0"/>
        <w:autoSpaceDN w:val="0"/>
        <w:adjustRightInd w:val="0"/>
        <w:rPr>
          <w:rFonts w:ascii="Arial" w:eastAsiaTheme="minorHAnsi" w:hAnsi="Arial" w:cs="Arial"/>
          <w:sz w:val="18"/>
          <w:szCs w:val="18"/>
        </w:rPr>
      </w:pPr>
    </w:p>
    <w:p w14:paraId="49672EC4" w14:textId="1679F603" w:rsidR="003B65EE" w:rsidRDefault="003B65EE" w:rsidP="003B65EE">
      <w:pPr>
        <w:autoSpaceDE w:val="0"/>
        <w:autoSpaceDN w:val="0"/>
        <w:adjustRightInd w:val="0"/>
        <w:rPr>
          <w:rFonts w:ascii="Arial" w:eastAsiaTheme="minorHAnsi" w:hAnsi="Arial" w:cs="Arial"/>
          <w:sz w:val="18"/>
          <w:szCs w:val="18"/>
        </w:rPr>
      </w:pPr>
    </w:p>
    <w:p w14:paraId="5FDF9EA4" w14:textId="20D5D358" w:rsidR="003B65EE" w:rsidRDefault="003B65EE" w:rsidP="003B65EE">
      <w:pPr>
        <w:autoSpaceDE w:val="0"/>
        <w:autoSpaceDN w:val="0"/>
        <w:adjustRightInd w:val="0"/>
        <w:rPr>
          <w:rFonts w:ascii="Arial" w:eastAsiaTheme="minorHAnsi" w:hAnsi="Arial" w:cs="Arial"/>
          <w:sz w:val="18"/>
          <w:szCs w:val="18"/>
        </w:rPr>
      </w:pPr>
    </w:p>
    <w:p w14:paraId="4619A1AC" w14:textId="605C20FE" w:rsidR="003B65EE" w:rsidRDefault="003B65EE" w:rsidP="003B65EE">
      <w:pPr>
        <w:autoSpaceDE w:val="0"/>
        <w:autoSpaceDN w:val="0"/>
        <w:adjustRightInd w:val="0"/>
        <w:rPr>
          <w:rFonts w:ascii="Arial" w:eastAsiaTheme="minorHAnsi" w:hAnsi="Arial" w:cs="Arial"/>
          <w:sz w:val="18"/>
          <w:szCs w:val="18"/>
        </w:rPr>
      </w:pPr>
    </w:p>
    <w:p w14:paraId="496AA47D" w14:textId="1B351EB0" w:rsidR="003B65EE" w:rsidRDefault="003B65EE" w:rsidP="003B65EE">
      <w:pPr>
        <w:autoSpaceDE w:val="0"/>
        <w:autoSpaceDN w:val="0"/>
        <w:adjustRightInd w:val="0"/>
        <w:rPr>
          <w:rFonts w:ascii="Arial" w:eastAsiaTheme="minorHAnsi" w:hAnsi="Arial" w:cs="Arial"/>
          <w:sz w:val="18"/>
          <w:szCs w:val="18"/>
        </w:rPr>
      </w:pPr>
    </w:p>
    <w:p w14:paraId="5FE70028" w14:textId="3BFDDD8A" w:rsidR="003B65EE" w:rsidRDefault="003B65EE" w:rsidP="003B65EE">
      <w:pPr>
        <w:autoSpaceDE w:val="0"/>
        <w:autoSpaceDN w:val="0"/>
        <w:adjustRightInd w:val="0"/>
        <w:rPr>
          <w:rFonts w:ascii="Arial" w:eastAsiaTheme="minorHAnsi" w:hAnsi="Arial" w:cs="Arial"/>
          <w:sz w:val="18"/>
          <w:szCs w:val="18"/>
        </w:rPr>
      </w:pPr>
    </w:p>
    <w:p w14:paraId="1528DD43" w14:textId="5BBD1CEB" w:rsidR="003B65EE" w:rsidRDefault="003B65EE" w:rsidP="003B65EE">
      <w:pPr>
        <w:autoSpaceDE w:val="0"/>
        <w:autoSpaceDN w:val="0"/>
        <w:adjustRightInd w:val="0"/>
        <w:rPr>
          <w:rFonts w:ascii="Arial" w:eastAsiaTheme="minorHAnsi" w:hAnsi="Arial" w:cs="Arial"/>
          <w:sz w:val="18"/>
          <w:szCs w:val="18"/>
        </w:rPr>
      </w:pPr>
    </w:p>
    <w:p w14:paraId="010B4B73" w14:textId="295A39B8" w:rsidR="003B65EE" w:rsidRDefault="003B65EE" w:rsidP="003B65EE">
      <w:pPr>
        <w:autoSpaceDE w:val="0"/>
        <w:autoSpaceDN w:val="0"/>
        <w:adjustRightInd w:val="0"/>
        <w:rPr>
          <w:rFonts w:ascii="Arial" w:eastAsiaTheme="minorHAnsi" w:hAnsi="Arial" w:cs="Arial"/>
          <w:sz w:val="18"/>
          <w:szCs w:val="18"/>
        </w:rPr>
      </w:pPr>
    </w:p>
    <w:p w14:paraId="05651181" w14:textId="3B11A301" w:rsidR="003B65EE" w:rsidRDefault="009055B2" w:rsidP="003B65EE">
      <w:pPr>
        <w:autoSpaceDE w:val="0"/>
        <w:autoSpaceDN w:val="0"/>
        <w:adjustRightInd w:val="0"/>
        <w:rPr>
          <w:rFonts w:ascii="Arial" w:eastAsiaTheme="minorHAnsi" w:hAnsi="Arial" w:cs="Arial"/>
          <w:sz w:val="18"/>
          <w:szCs w:val="18"/>
        </w:rPr>
      </w:pPr>
      <w:r>
        <w:rPr>
          <w:rFonts w:ascii="Arial" w:eastAsiaTheme="minorHAnsi" w:hAnsi="Arial" w:cs="Arial"/>
          <w:sz w:val="18"/>
          <w:szCs w:val="18"/>
        </w:rPr>
        <w:lastRenderedPageBreak/>
        <w:t>Appendix A3: Markov switching summary on the three regimes</w:t>
      </w:r>
    </w:p>
    <w:p w14:paraId="3EFB160B" w14:textId="77777777" w:rsidR="003B65EE" w:rsidRDefault="003B65EE" w:rsidP="003B65EE">
      <w:pPr>
        <w:autoSpaceDE w:val="0"/>
        <w:autoSpaceDN w:val="0"/>
        <w:adjustRightInd w:val="0"/>
        <w:rPr>
          <w:rFonts w:ascii="Arial" w:eastAsiaTheme="minorHAnsi" w:hAnsi="Arial" w:cs="Arial"/>
          <w:sz w:val="18"/>
          <w:szCs w:val="18"/>
        </w:rPr>
      </w:pPr>
    </w:p>
    <w:tbl>
      <w:tblPr>
        <w:tblW w:w="0" w:type="auto"/>
        <w:tblInd w:w="30" w:type="dxa"/>
        <w:tblLayout w:type="fixed"/>
        <w:tblCellMar>
          <w:left w:w="0" w:type="dxa"/>
          <w:right w:w="0" w:type="dxa"/>
        </w:tblCellMar>
        <w:tblLook w:val="0000" w:firstRow="0" w:lastRow="0" w:firstColumn="0" w:lastColumn="0" w:noHBand="0" w:noVBand="0"/>
      </w:tblPr>
      <w:tblGrid>
        <w:gridCol w:w="834"/>
        <w:gridCol w:w="865"/>
        <w:gridCol w:w="1228"/>
        <w:gridCol w:w="1229"/>
        <w:gridCol w:w="1228"/>
      </w:tblGrid>
      <w:tr w:rsidR="003B65EE" w14:paraId="149E4252" w14:textId="77777777" w:rsidTr="003B65EE">
        <w:trPr>
          <w:trHeight w:val="196"/>
        </w:trPr>
        <w:tc>
          <w:tcPr>
            <w:tcW w:w="4156" w:type="dxa"/>
            <w:gridSpan w:val="4"/>
            <w:tcBorders>
              <w:top w:val="nil"/>
              <w:left w:val="nil"/>
              <w:bottom w:val="nil"/>
              <w:right w:val="nil"/>
            </w:tcBorders>
            <w:vAlign w:val="bottom"/>
          </w:tcPr>
          <w:p w14:paraId="38F69108"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Equation: UNTITLED</w:t>
            </w:r>
          </w:p>
        </w:tc>
        <w:tc>
          <w:tcPr>
            <w:tcW w:w="1228" w:type="dxa"/>
            <w:tcBorders>
              <w:top w:val="nil"/>
              <w:left w:val="nil"/>
              <w:bottom w:val="nil"/>
              <w:right w:val="nil"/>
            </w:tcBorders>
            <w:vAlign w:val="bottom"/>
          </w:tcPr>
          <w:p w14:paraId="61EE78D4"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3D4C9528" w14:textId="77777777" w:rsidTr="003B65EE">
        <w:trPr>
          <w:trHeight w:val="196"/>
        </w:trPr>
        <w:tc>
          <w:tcPr>
            <w:tcW w:w="5384" w:type="dxa"/>
            <w:gridSpan w:val="5"/>
            <w:tcBorders>
              <w:top w:val="nil"/>
              <w:left w:val="nil"/>
              <w:bottom w:val="nil"/>
              <w:right w:val="nil"/>
            </w:tcBorders>
            <w:vAlign w:val="bottom"/>
          </w:tcPr>
          <w:p w14:paraId="16630D72"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Date: 04/21/19   Time: 10:25</w:t>
            </w:r>
          </w:p>
        </w:tc>
      </w:tr>
      <w:tr w:rsidR="003B65EE" w14:paraId="628347E3" w14:textId="77777777" w:rsidTr="003B65EE">
        <w:trPr>
          <w:trHeight w:val="196"/>
        </w:trPr>
        <w:tc>
          <w:tcPr>
            <w:tcW w:w="5384" w:type="dxa"/>
            <w:gridSpan w:val="5"/>
            <w:tcBorders>
              <w:top w:val="nil"/>
              <w:left w:val="nil"/>
              <w:bottom w:val="nil"/>
              <w:right w:val="nil"/>
            </w:tcBorders>
            <w:vAlign w:val="bottom"/>
          </w:tcPr>
          <w:p w14:paraId="3E02EBCF"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Transition summary: Constant Markov transition probabilities and</w:t>
            </w:r>
          </w:p>
        </w:tc>
      </w:tr>
      <w:tr w:rsidR="003B65EE" w14:paraId="143B3CA9" w14:textId="77777777" w:rsidTr="003B65EE">
        <w:trPr>
          <w:trHeight w:val="196"/>
        </w:trPr>
        <w:tc>
          <w:tcPr>
            <w:tcW w:w="4156" w:type="dxa"/>
            <w:gridSpan w:val="4"/>
            <w:tcBorders>
              <w:top w:val="nil"/>
              <w:left w:val="nil"/>
              <w:bottom w:val="nil"/>
              <w:right w:val="nil"/>
            </w:tcBorders>
            <w:vAlign w:val="bottom"/>
          </w:tcPr>
          <w:p w14:paraId="6169B691"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        expected durations</w:t>
            </w:r>
          </w:p>
        </w:tc>
        <w:tc>
          <w:tcPr>
            <w:tcW w:w="1228" w:type="dxa"/>
            <w:tcBorders>
              <w:top w:val="nil"/>
              <w:left w:val="nil"/>
              <w:bottom w:val="nil"/>
              <w:right w:val="nil"/>
            </w:tcBorders>
            <w:vAlign w:val="bottom"/>
          </w:tcPr>
          <w:p w14:paraId="60AAD1B0"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522C8EA7" w14:textId="77777777" w:rsidTr="003B65EE">
        <w:trPr>
          <w:trHeight w:val="196"/>
        </w:trPr>
        <w:tc>
          <w:tcPr>
            <w:tcW w:w="5384" w:type="dxa"/>
            <w:gridSpan w:val="5"/>
            <w:tcBorders>
              <w:top w:val="nil"/>
              <w:left w:val="nil"/>
              <w:bottom w:val="nil"/>
              <w:right w:val="nil"/>
            </w:tcBorders>
            <w:vAlign w:val="bottom"/>
          </w:tcPr>
          <w:p w14:paraId="3F92CC34"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Sample (adjusted): 1/02/2010 12/29/2018</w:t>
            </w:r>
          </w:p>
        </w:tc>
      </w:tr>
      <w:tr w:rsidR="003B65EE" w14:paraId="625501F8" w14:textId="77777777" w:rsidTr="003B65EE">
        <w:trPr>
          <w:trHeight w:val="196"/>
        </w:trPr>
        <w:tc>
          <w:tcPr>
            <w:tcW w:w="5384" w:type="dxa"/>
            <w:gridSpan w:val="5"/>
            <w:tcBorders>
              <w:top w:val="nil"/>
              <w:left w:val="nil"/>
              <w:bottom w:val="nil"/>
              <w:right w:val="nil"/>
            </w:tcBorders>
            <w:vAlign w:val="bottom"/>
          </w:tcPr>
          <w:p w14:paraId="12696C52"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Included observations: 470 after adjustments</w:t>
            </w:r>
          </w:p>
        </w:tc>
      </w:tr>
      <w:tr w:rsidR="003B65EE" w14:paraId="5D747CFE" w14:textId="77777777">
        <w:trPr>
          <w:trHeight w:hRule="exact" w:val="78"/>
        </w:trPr>
        <w:tc>
          <w:tcPr>
            <w:tcW w:w="834" w:type="dxa"/>
            <w:tcBorders>
              <w:top w:val="nil"/>
              <w:left w:val="nil"/>
              <w:bottom w:val="double" w:sz="6" w:space="2" w:color="auto"/>
              <w:right w:val="nil"/>
            </w:tcBorders>
            <w:vAlign w:val="bottom"/>
          </w:tcPr>
          <w:p w14:paraId="72397622"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double" w:sz="6" w:space="2" w:color="auto"/>
              <w:right w:val="nil"/>
            </w:tcBorders>
            <w:vAlign w:val="bottom"/>
          </w:tcPr>
          <w:p w14:paraId="2175FDE6"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double" w:sz="6" w:space="2" w:color="auto"/>
              <w:right w:val="nil"/>
            </w:tcBorders>
            <w:vAlign w:val="bottom"/>
          </w:tcPr>
          <w:p w14:paraId="469A2AA9"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double" w:sz="6" w:space="2" w:color="auto"/>
              <w:right w:val="nil"/>
            </w:tcBorders>
            <w:vAlign w:val="bottom"/>
          </w:tcPr>
          <w:p w14:paraId="23636186"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double" w:sz="6" w:space="2" w:color="auto"/>
              <w:right w:val="nil"/>
            </w:tcBorders>
            <w:vAlign w:val="bottom"/>
          </w:tcPr>
          <w:p w14:paraId="36A11A23"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09287E0D" w14:textId="77777777">
        <w:trPr>
          <w:trHeight w:hRule="exact" w:val="117"/>
        </w:trPr>
        <w:tc>
          <w:tcPr>
            <w:tcW w:w="834" w:type="dxa"/>
            <w:tcBorders>
              <w:top w:val="nil"/>
              <w:left w:val="nil"/>
              <w:bottom w:val="nil"/>
              <w:right w:val="nil"/>
            </w:tcBorders>
            <w:vAlign w:val="bottom"/>
          </w:tcPr>
          <w:p w14:paraId="58EBF2AA"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6EC94E27"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3BC82BAC"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094048EB"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023A1446"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5B9E732D" w14:textId="77777777" w:rsidTr="003B65EE">
        <w:trPr>
          <w:trHeight w:val="196"/>
        </w:trPr>
        <w:tc>
          <w:tcPr>
            <w:tcW w:w="5384" w:type="dxa"/>
            <w:gridSpan w:val="5"/>
            <w:tcBorders>
              <w:top w:val="nil"/>
              <w:left w:val="nil"/>
              <w:bottom w:val="nil"/>
              <w:right w:val="nil"/>
            </w:tcBorders>
            <w:vAlign w:val="bottom"/>
          </w:tcPr>
          <w:p w14:paraId="71786A2D"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Constant transition probabilities:</w:t>
            </w:r>
          </w:p>
        </w:tc>
      </w:tr>
      <w:tr w:rsidR="003B65EE" w14:paraId="6F509408" w14:textId="77777777" w:rsidTr="003B65EE">
        <w:trPr>
          <w:trHeight w:val="196"/>
        </w:trPr>
        <w:tc>
          <w:tcPr>
            <w:tcW w:w="5384" w:type="dxa"/>
            <w:gridSpan w:val="5"/>
            <w:tcBorders>
              <w:top w:val="nil"/>
              <w:left w:val="nil"/>
              <w:bottom w:val="nil"/>
              <w:right w:val="nil"/>
            </w:tcBorders>
            <w:vAlign w:val="bottom"/>
          </w:tcPr>
          <w:p w14:paraId="68B56AB9"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P(</w:t>
            </w:r>
            <w:proofErr w:type="spellStart"/>
            <w:r>
              <w:rPr>
                <w:rFonts w:ascii="Arial" w:eastAsiaTheme="minorHAnsi" w:hAnsi="Arial" w:cs="Arial"/>
                <w:color w:val="000000"/>
                <w:sz w:val="18"/>
                <w:szCs w:val="18"/>
              </w:rPr>
              <w:t>i</w:t>
            </w:r>
            <w:proofErr w:type="spellEnd"/>
            <w:r>
              <w:rPr>
                <w:rFonts w:ascii="Arial" w:eastAsiaTheme="minorHAnsi" w:hAnsi="Arial" w:cs="Arial"/>
                <w:color w:val="000000"/>
                <w:sz w:val="18"/>
                <w:szCs w:val="18"/>
              </w:rPr>
              <w:t xml:space="preserve">, k) = P(s(t) = k | s(t-1) = </w:t>
            </w:r>
            <w:proofErr w:type="spellStart"/>
            <w:r>
              <w:rPr>
                <w:rFonts w:ascii="Arial" w:eastAsiaTheme="minorHAnsi" w:hAnsi="Arial" w:cs="Arial"/>
                <w:color w:val="000000"/>
                <w:sz w:val="18"/>
                <w:szCs w:val="18"/>
              </w:rPr>
              <w:t>i</w:t>
            </w:r>
            <w:proofErr w:type="spellEnd"/>
            <w:r>
              <w:rPr>
                <w:rFonts w:ascii="Arial" w:eastAsiaTheme="minorHAnsi" w:hAnsi="Arial" w:cs="Arial"/>
                <w:color w:val="000000"/>
                <w:sz w:val="18"/>
                <w:szCs w:val="18"/>
              </w:rPr>
              <w:t>)</w:t>
            </w:r>
          </w:p>
        </w:tc>
      </w:tr>
      <w:tr w:rsidR="003B65EE" w14:paraId="5D2EB0C9" w14:textId="77777777" w:rsidTr="003B65EE">
        <w:trPr>
          <w:trHeight w:val="196"/>
        </w:trPr>
        <w:tc>
          <w:tcPr>
            <w:tcW w:w="4156" w:type="dxa"/>
            <w:gridSpan w:val="4"/>
            <w:tcBorders>
              <w:top w:val="nil"/>
              <w:left w:val="nil"/>
              <w:bottom w:val="nil"/>
              <w:right w:val="nil"/>
            </w:tcBorders>
            <w:vAlign w:val="bottom"/>
          </w:tcPr>
          <w:p w14:paraId="014BEBB9"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(row = i / column = j)</w:t>
            </w:r>
          </w:p>
        </w:tc>
        <w:tc>
          <w:tcPr>
            <w:tcW w:w="1228" w:type="dxa"/>
            <w:tcBorders>
              <w:top w:val="nil"/>
              <w:left w:val="nil"/>
              <w:bottom w:val="nil"/>
              <w:right w:val="nil"/>
            </w:tcBorders>
            <w:vAlign w:val="bottom"/>
          </w:tcPr>
          <w:p w14:paraId="66C98CE2"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1FFD4653" w14:textId="77777777">
        <w:trPr>
          <w:trHeight w:val="196"/>
        </w:trPr>
        <w:tc>
          <w:tcPr>
            <w:tcW w:w="834" w:type="dxa"/>
            <w:tcBorders>
              <w:top w:val="nil"/>
              <w:left w:val="nil"/>
              <w:bottom w:val="nil"/>
              <w:right w:val="nil"/>
            </w:tcBorders>
            <w:vAlign w:val="bottom"/>
          </w:tcPr>
          <w:p w14:paraId="6341046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single" w:sz="6" w:space="0" w:color="auto"/>
              <w:right w:val="single" w:sz="6" w:space="0" w:color="auto"/>
            </w:tcBorders>
            <w:vAlign w:val="bottom"/>
          </w:tcPr>
          <w:p w14:paraId="5053E200"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single" w:sz="6" w:space="0" w:color="auto"/>
              <w:bottom w:val="single" w:sz="6" w:space="0" w:color="auto"/>
              <w:right w:val="nil"/>
            </w:tcBorders>
            <w:vAlign w:val="bottom"/>
          </w:tcPr>
          <w:p w14:paraId="3D12055F"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1</w:t>
            </w:r>
          </w:p>
        </w:tc>
        <w:tc>
          <w:tcPr>
            <w:tcW w:w="1229" w:type="dxa"/>
            <w:tcBorders>
              <w:top w:val="nil"/>
              <w:left w:val="nil"/>
              <w:bottom w:val="single" w:sz="6" w:space="0" w:color="auto"/>
              <w:right w:val="nil"/>
            </w:tcBorders>
            <w:vAlign w:val="bottom"/>
          </w:tcPr>
          <w:p w14:paraId="7764F283"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2</w:t>
            </w:r>
          </w:p>
        </w:tc>
        <w:tc>
          <w:tcPr>
            <w:tcW w:w="1228" w:type="dxa"/>
            <w:tcBorders>
              <w:top w:val="nil"/>
              <w:left w:val="nil"/>
              <w:bottom w:val="single" w:sz="6" w:space="0" w:color="auto"/>
              <w:right w:val="nil"/>
            </w:tcBorders>
            <w:vAlign w:val="bottom"/>
          </w:tcPr>
          <w:p w14:paraId="76B88618"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3</w:t>
            </w:r>
          </w:p>
        </w:tc>
      </w:tr>
      <w:tr w:rsidR="003B65EE" w14:paraId="6D8AF6F6" w14:textId="77777777">
        <w:trPr>
          <w:trHeight w:val="196"/>
        </w:trPr>
        <w:tc>
          <w:tcPr>
            <w:tcW w:w="834" w:type="dxa"/>
            <w:tcBorders>
              <w:top w:val="nil"/>
              <w:left w:val="nil"/>
              <w:bottom w:val="nil"/>
              <w:right w:val="nil"/>
            </w:tcBorders>
            <w:vAlign w:val="bottom"/>
          </w:tcPr>
          <w:p w14:paraId="527F9E84" w14:textId="77777777" w:rsidR="003B65EE" w:rsidRDefault="003B65EE">
            <w:pPr>
              <w:autoSpaceDE w:val="0"/>
              <w:autoSpaceDN w:val="0"/>
              <w:adjustRightInd w:val="0"/>
              <w:rPr>
                <w:rFonts w:ascii="Arial" w:eastAsiaTheme="minorHAnsi" w:hAnsi="Arial" w:cs="Arial"/>
                <w:color w:val="000000"/>
                <w:sz w:val="18"/>
                <w:szCs w:val="18"/>
              </w:rPr>
            </w:pPr>
          </w:p>
        </w:tc>
        <w:tc>
          <w:tcPr>
            <w:tcW w:w="865" w:type="dxa"/>
            <w:tcBorders>
              <w:top w:val="single" w:sz="6" w:space="0" w:color="auto"/>
              <w:left w:val="nil"/>
              <w:bottom w:val="nil"/>
              <w:right w:val="single" w:sz="6" w:space="0" w:color="auto"/>
            </w:tcBorders>
            <w:vAlign w:val="bottom"/>
          </w:tcPr>
          <w:p w14:paraId="04F108EC"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1</w:t>
            </w:r>
          </w:p>
        </w:tc>
        <w:tc>
          <w:tcPr>
            <w:tcW w:w="1228" w:type="dxa"/>
            <w:tcBorders>
              <w:top w:val="single" w:sz="6" w:space="0" w:color="auto"/>
              <w:left w:val="single" w:sz="6" w:space="0" w:color="auto"/>
              <w:bottom w:val="nil"/>
              <w:right w:val="nil"/>
            </w:tcBorders>
            <w:vAlign w:val="bottom"/>
          </w:tcPr>
          <w:p w14:paraId="2DEFE67B"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0.982160</w:t>
            </w:r>
          </w:p>
        </w:tc>
        <w:tc>
          <w:tcPr>
            <w:tcW w:w="1229" w:type="dxa"/>
            <w:tcBorders>
              <w:top w:val="single" w:sz="6" w:space="0" w:color="auto"/>
              <w:left w:val="nil"/>
              <w:bottom w:val="nil"/>
              <w:right w:val="nil"/>
            </w:tcBorders>
            <w:vAlign w:val="bottom"/>
          </w:tcPr>
          <w:p w14:paraId="6769BE9E"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0.012575</w:t>
            </w:r>
          </w:p>
        </w:tc>
        <w:tc>
          <w:tcPr>
            <w:tcW w:w="1228" w:type="dxa"/>
            <w:tcBorders>
              <w:top w:val="single" w:sz="6" w:space="0" w:color="auto"/>
              <w:left w:val="nil"/>
              <w:bottom w:val="nil"/>
              <w:right w:val="nil"/>
            </w:tcBorders>
            <w:vAlign w:val="bottom"/>
          </w:tcPr>
          <w:p w14:paraId="5EC2AD9B"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0.005265</w:t>
            </w:r>
          </w:p>
        </w:tc>
      </w:tr>
      <w:tr w:rsidR="003B65EE" w14:paraId="3E131C6E" w14:textId="77777777">
        <w:trPr>
          <w:trHeight w:val="196"/>
        </w:trPr>
        <w:tc>
          <w:tcPr>
            <w:tcW w:w="834" w:type="dxa"/>
            <w:tcBorders>
              <w:top w:val="nil"/>
              <w:left w:val="nil"/>
              <w:bottom w:val="nil"/>
              <w:right w:val="nil"/>
            </w:tcBorders>
            <w:vAlign w:val="bottom"/>
          </w:tcPr>
          <w:p w14:paraId="07312B8A"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single" w:sz="6" w:space="0" w:color="auto"/>
            </w:tcBorders>
            <w:vAlign w:val="bottom"/>
          </w:tcPr>
          <w:p w14:paraId="045FFD77"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2</w:t>
            </w:r>
          </w:p>
        </w:tc>
        <w:tc>
          <w:tcPr>
            <w:tcW w:w="1228" w:type="dxa"/>
            <w:tcBorders>
              <w:top w:val="nil"/>
              <w:left w:val="single" w:sz="6" w:space="0" w:color="auto"/>
              <w:bottom w:val="nil"/>
              <w:right w:val="nil"/>
            </w:tcBorders>
            <w:vAlign w:val="bottom"/>
          </w:tcPr>
          <w:p w14:paraId="718B77C6"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0.020026</w:t>
            </w:r>
          </w:p>
        </w:tc>
        <w:tc>
          <w:tcPr>
            <w:tcW w:w="1229" w:type="dxa"/>
            <w:tcBorders>
              <w:top w:val="nil"/>
              <w:left w:val="nil"/>
              <w:bottom w:val="nil"/>
              <w:right w:val="nil"/>
            </w:tcBorders>
            <w:vAlign w:val="bottom"/>
          </w:tcPr>
          <w:p w14:paraId="0E7ED3F4"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0.959010</w:t>
            </w:r>
          </w:p>
        </w:tc>
        <w:tc>
          <w:tcPr>
            <w:tcW w:w="1228" w:type="dxa"/>
            <w:tcBorders>
              <w:top w:val="nil"/>
              <w:left w:val="nil"/>
              <w:bottom w:val="nil"/>
              <w:right w:val="nil"/>
            </w:tcBorders>
            <w:vAlign w:val="bottom"/>
          </w:tcPr>
          <w:p w14:paraId="3295F635"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0.020964</w:t>
            </w:r>
          </w:p>
        </w:tc>
      </w:tr>
      <w:tr w:rsidR="003B65EE" w14:paraId="05DAB17D" w14:textId="77777777">
        <w:trPr>
          <w:trHeight w:val="196"/>
        </w:trPr>
        <w:tc>
          <w:tcPr>
            <w:tcW w:w="834" w:type="dxa"/>
            <w:tcBorders>
              <w:top w:val="nil"/>
              <w:left w:val="nil"/>
              <w:bottom w:val="nil"/>
              <w:right w:val="nil"/>
            </w:tcBorders>
            <w:vAlign w:val="bottom"/>
          </w:tcPr>
          <w:p w14:paraId="7E36853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single" w:sz="6" w:space="0" w:color="auto"/>
            </w:tcBorders>
            <w:vAlign w:val="bottom"/>
          </w:tcPr>
          <w:p w14:paraId="0CA2A133"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3</w:t>
            </w:r>
          </w:p>
        </w:tc>
        <w:tc>
          <w:tcPr>
            <w:tcW w:w="1228" w:type="dxa"/>
            <w:tcBorders>
              <w:top w:val="nil"/>
              <w:left w:val="single" w:sz="6" w:space="0" w:color="auto"/>
              <w:bottom w:val="nil"/>
              <w:right w:val="nil"/>
            </w:tcBorders>
            <w:vAlign w:val="bottom"/>
          </w:tcPr>
          <w:p w14:paraId="560ED6CD"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9.08E-06</w:t>
            </w:r>
          </w:p>
        </w:tc>
        <w:tc>
          <w:tcPr>
            <w:tcW w:w="1229" w:type="dxa"/>
            <w:tcBorders>
              <w:top w:val="nil"/>
              <w:left w:val="nil"/>
              <w:bottom w:val="nil"/>
              <w:right w:val="nil"/>
            </w:tcBorders>
            <w:vAlign w:val="bottom"/>
          </w:tcPr>
          <w:p w14:paraId="125355EF"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0.084758</w:t>
            </w:r>
          </w:p>
        </w:tc>
        <w:tc>
          <w:tcPr>
            <w:tcW w:w="1228" w:type="dxa"/>
            <w:tcBorders>
              <w:top w:val="nil"/>
              <w:left w:val="nil"/>
              <w:bottom w:val="nil"/>
              <w:right w:val="nil"/>
            </w:tcBorders>
            <w:vAlign w:val="bottom"/>
          </w:tcPr>
          <w:p w14:paraId="22147509"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0.915233</w:t>
            </w:r>
          </w:p>
        </w:tc>
      </w:tr>
      <w:tr w:rsidR="003B65EE" w14:paraId="7F3B1992" w14:textId="77777777">
        <w:trPr>
          <w:trHeight w:val="196"/>
        </w:trPr>
        <w:tc>
          <w:tcPr>
            <w:tcW w:w="834" w:type="dxa"/>
            <w:tcBorders>
              <w:top w:val="nil"/>
              <w:left w:val="nil"/>
              <w:bottom w:val="nil"/>
              <w:right w:val="nil"/>
            </w:tcBorders>
            <w:vAlign w:val="bottom"/>
          </w:tcPr>
          <w:p w14:paraId="31D7CC5F"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3EC828AF"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1FCDA90D"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2FDB2BA5"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06261D34"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25BC5D54" w14:textId="77777777">
        <w:trPr>
          <w:trHeight w:val="196"/>
        </w:trPr>
        <w:tc>
          <w:tcPr>
            <w:tcW w:w="834" w:type="dxa"/>
            <w:tcBorders>
              <w:top w:val="nil"/>
              <w:left w:val="nil"/>
              <w:bottom w:val="nil"/>
              <w:right w:val="nil"/>
            </w:tcBorders>
            <w:vAlign w:val="bottom"/>
          </w:tcPr>
          <w:p w14:paraId="1950F366"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51963F2F"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0C02D195"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632EFCFF"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1CACA180"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647FCB35" w14:textId="77777777">
        <w:trPr>
          <w:trHeight w:hRule="exact" w:val="78"/>
        </w:trPr>
        <w:tc>
          <w:tcPr>
            <w:tcW w:w="834" w:type="dxa"/>
            <w:tcBorders>
              <w:top w:val="nil"/>
              <w:left w:val="nil"/>
              <w:bottom w:val="double" w:sz="6" w:space="2" w:color="auto"/>
              <w:right w:val="nil"/>
            </w:tcBorders>
            <w:vAlign w:val="bottom"/>
          </w:tcPr>
          <w:p w14:paraId="46553156"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double" w:sz="6" w:space="2" w:color="auto"/>
              <w:right w:val="nil"/>
            </w:tcBorders>
            <w:vAlign w:val="bottom"/>
          </w:tcPr>
          <w:p w14:paraId="4D529791"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double" w:sz="6" w:space="2" w:color="auto"/>
              <w:right w:val="nil"/>
            </w:tcBorders>
            <w:vAlign w:val="bottom"/>
          </w:tcPr>
          <w:p w14:paraId="748D8205"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double" w:sz="6" w:space="2" w:color="auto"/>
              <w:right w:val="nil"/>
            </w:tcBorders>
            <w:vAlign w:val="bottom"/>
          </w:tcPr>
          <w:p w14:paraId="73C1ECA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double" w:sz="6" w:space="2" w:color="auto"/>
              <w:right w:val="nil"/>
            </w:tcBorders>
            <w:vAlign w:val="bottom"/>
          </w:tcPr>
          <w:p w14:paraId="71A1BA95"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0AAD218B" w14:textId="77777777">
        <w:trPr>
          <w:trHeight w:hRule="exact" w:val="117"/>
        </w:trPr>
        <w:tc>
          <w:tcPr>
            <w:tcW w:w="834" w:type="dxa"/>
            <w:tcBorders>
              <w:top w:val="nil"/>
              <w:left w:val="nil"/>
              <w:bottom w:val="nil"/>
              <w:right w:val="nil"/>
            </w:tcBorders>
            <w:vAlign w:val="bottom"/>
          </w:tcPr>
          <w:p w14:paraId="15A38B72"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3E294A10"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510B23C0"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336751B8"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1DB6D8F0"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27004888" w14:textId="77777777" w:rsidTr="003B65EE">
        <w:trPr>
          <w:trHeight w:val="196"/>
        </w:trPr>
        <w:tc>
          <w:tcPr>
            <w:tcW w:w="5384" w:type="dxa"/>
            <w:gridSpan w:val="5"/>
            <w:tcBorders>
              <w:top w:val="nil"/>
              <w:left w:val="nil"/>
              <w:bottom w:val="nil"/>
              <w:right w:val="nil"/>
            </w:tcBorders>
            <w:vAlign w:val="bottom"/>
          </w:tcPr>
          <w:p w14:paraId="2EEC875F" w14:textId="77777777" w:rsidR="003B65EE" w:rsidRDefault="003B65EE">
            <w:pPr>
              <w:autoSpaceDE w:val="0"/>
              <w:autoSpaceDN w:val="0"/>
              <w:adjustRightInd w:val="0"/>
              <w:rPr>
                <w:rFonts w:ascii="Arial" w:eastAsiaTheme="minorHAnsi" w:hAnsi="Arial" w:cs="Arial"/>
                <w:color w:val="000000"/>
                <w:sz w:val="18"/>
                <w:szCs w:val="18"/>
              </w:rPr>
            </w:pPr>
            <w:r>
              <w:rPr>
                <w:rFonts w:ascii="Arial" w:eastAsiaTheme="minorHAnsi" w:hAnsi="Arial" w:cs="Arial"/>
                <w:color w:val="000000"/>
                <w:sz w:val="18"/>
                <w:szCs w:val="18"/>
              </w:rPr>
              <w:t>Constant expected durations:</w:t>
            </w:r>
          </w:p>
        </w:tc>
      </w:tr>
      <w:tr w:rsidR="003B65EE" w14:paraId="42566A41" w14:textId="77777777">
        <w:trPr>
          <w:trHeight w:val="196"/>
        </w:trPr>
        <w:tc>
          <w:tcPr>
            <w:tcW w:w="834" w:type="dxa"/>
            <w:tcBorders>
              <w:top w:val="nil"/>
              <w:left w:val="nil"/>
              <w:bottom w:val="nil"/>
              <w:right w:val="nil"/>
            </w:tcBorders>
            <w:vAlign w:val="bottom"/>
          </w:tcPr>
          <w:p w14:paraId="50EB5981"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6FD58A5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6E2A368D"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647BA98B"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7724301B"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5B2D35BE" w14:textId="77777777">
        <w:trPr>
          <w:trHeight w:val="196"/>
        </w:trPr>
        <w:tc>
          <w:tcPr>
            <w:tcW w:w="834" w:type="dxa"/>
            <w:tcBorders>
              <w:top w:val="nil"/>
              <w:left w:val="nil"/>
              <w:bottom w:val="nil"/>
              <w:right w:val="nil"/>
            </w:tcBorders>
            <w:vAlign w:val="bottom"/>
          </w:tcPr>
          <w:p w14:paraId="08370F91"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single" w:sz="6" w:space="0" w:color="auto"/>
              <w:right w:val="single" w:sz="6" w:space="0" w:color="auto"/>
            </w:tcBorders>
            <w:vAlign w:val="bottom"/>
          </w:tcPr>
          <w:p w14:paraId="435CD9E2"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single" w:sz="6" w:space="0" w:color="auto"/>
              <w:bottom w:val="single" w:sz="6" w:space="0" w:color="auto"/>
              <w:right w:val="nil"/>
            </w:tcBorders>
            <w:vAlign w:val="bottom"/>
          </w:tcPr>
          <w:p w14:paraId="5C1F9362"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1</w:t>
            </w:r>
          </w:p>
        </w:tc>
        <w:tc>
          <w:tcPr>
            <w:tcW w:w="1229" w:type="dxa"/>
            <w:tcBorders>
              <w:top w:val="nil"/>
              <w:left w:val="nil"/>
              <w:bottom w:val="single" w:sz="6" w:space="0" w:color="auto"/>
              <w:right w:val="nil"/>
            </w:tcBorders>
            <w:vAlign w:val="bottom"/>
          </w:tcPr>
          <w:p w14:paraId="4266001A"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2</w:t>
            </w:r>
          </w:p>
        </w:tc>
        <w:tc>
          <w:tcPr>
            <w:tcW w:w="1228" w:type="dxa"/>
            <w:tcBorders>
              <w:top w:val="nil"/>
              <w:left w:val="nil"/>
              <w:bottom w:val="single" w:sz="6" w:space="0" w:color="auto"/>
              <w:right w:val="nil"/>
            </w:tcBorders>
            <w:vAlign w:val="bottom"/>
          </w:tcPr>
          <w:p w14:paraId="5E1EB5B1" w14:textId="77777777" w:rsidR="003B65EE" w:rsidRDefault="003B65EE">
            <w:pPr>
              <w:autoSpaceDE w:val="0"/>
              <w:autoSpaceDN w:val="0"/>
              <w:adjustRightInd w:val="0"/>
              <w:jc w:val="center"/>
              <w:rPr>
                <w:rFonts w:ascii="Arial" w:eastAsiaTheme="minorHAnsi" w:hAnsi="Arial" w:cs="Arial"/>
                <w:color w:val="000000"/>
                <w:sz w:val="18"/>
                <w:szCs w:val="18"/>
              </w:rPr>
            </w:pPr>
            <w:r>
              <w:rPr>
                <w:rFonts w:ascii="Arial" w:eastAsiaTheme="minorHAnsi" w:hAnsi="Arial" w:cs="Arial"/>
                <w:color w:val="000000"/>
                <w:sz w:val="18"/>
                <w:szCs w:val="18"/>
              </w:rPr>
              <w:t> 3</w:t>
            </w:r>
          </w:p>
        </w:tc>
      </w:tr>
      <w:tr w:rsidR="003B65EE" w14:paraId="5D2CAF0D" w14:textId="77777777">
        <w:trPr>
          <w:trHeight w:val="196"/>
        </w:trPr>
        <w:tc>
          <w:tcPr>
            <w:tcW w:w="834" w:type="dxa"/>
            <w:tcBorders>
              <w:top w:val="nil"/>
              <w:left w:val="nil"/>
              <w:bottom w:val="nil"/>
              <w:right w:val="nil"/>
            </w:tcBorders>
            <w:vAlign w:val="bottom"/>
          </w:tcPr>
          <w:p w14:paraId="7073B02F" w14:textId="77777777" w:rsidR="003B65EE" w:rsidRDefault="003B65EE">
            <w:pPr>
              <w:autoSpaceDE w:val="0"/>
              <w:autoSpaceDN w:val="0"/>
              <w:adjustRightInd w:val="0"/>
              <w:rPr>
                <w:rFonts w:ascii="Arial" w:eastAsiaTheme="minorHAnsi" w:hAnsi="Arial" w:cs="Arial"/>
                <w:color w:val="000000"/>
                <w:sz w:val="18"/>
                <w:szCs w:val="18"/>
              </w:rPr>
            </w:pPr>
          </w:p>
        </w:tc>
        <w:tc>
          <w:tcPr>
            <w:tcW w:w="865" w:type="dxa"/>
            <w:tcBorders>
              <w:top w:val="single" w:sz="6" w:space="0" w:color="auto"/>
              <w:left w:val="nil"/>
              <w:bottom w:val="nil"/>
              <w:right w:val="single" w:sz="6" w:space="0" w:color="auto"/>
            </w:tcBorders>
            <w:vAlign w:val="bottom"/>
          </w:tcPr>
          <w:p w14:paraId="213AE613"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single" w:sz="6" w:space="0" w:color="auto"/>
              <w:left w:val="single" w:sz="6" w:space="0" w:color="auto"/>
              <w:bottom w:val="nil"/>
              <w:right w:val="nil"/>
            </w:tcBorders>
            <w:vAlign w:val="bottom"/>
          </w:tcPr>
          <w:p w14:paraId="6B992910"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56.05415</w:t>
            </w:r>
          </w:p>
        </w:tc>
        <w:tc>
          <w:tcPr>
            <w:tcW w:w="1229" w:type="dxa"/>
            <w:tcBorders>
              <w:top w:val="single" w:sz="6" w:space="0" w:color="auto"/>
              <w:left w:val="nil"/>
              <w:bottom w:val="nil"/>
              <w:right w:val="nil"/>
            </w:tcBorders>
            <w:vAlign w:val="bottom"/>
          </w:tcPr>
          <w:p w14:paraId="6DC9338F"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24.39618</w:t>
            </w:r>
          </w:p>
        </w:tc>
        <w:tc>
          <w:tcPr>
            <w:tcW w:w="1228" w:type="dxa"/>
            <w:tcBorders>
              <w:top w:val="single" w:sz="6" w:space="0" w:color="auto"/>
              <w:left w:val="nil"/>
              <w:bottom w:val="nil"/>
              <w:right w:val="nil"/>
            </w:tcBorders>
            <w:vAlign w:val="bottom"/>
          </w:tcPr>
          <w:p w14:paraId="5ACBF2C1" w14:textId="77777777" w:rsidR="003B65EE" w:rsidRDefault="003B65EE">
            <w:pPr>
              <w:autoSpaceDE w:val="0"/>
              <w:autoSpaceDN w:val="0"/>
              <w:adjustRightInd w:val="0"/>
              <w:ind w:right="30"/>
              <w:jc w:val="right"/>
              <w:rPr>
                <w:rFonts w:ascii="Arial" w:eastAsiaTheme="minorHAnsi" w:hAnsi="Arial" w:cs="Arial"/>
                <w:color w:val="000000"/>
                <w:sz w:val="18"/>
                <w:szCs w:val="18"/>
              </w:rPr>
            </w:pPr>
            <w:r>
              <w:rPr>
                <w:rFonts w:ascii="Arial" w:eastAsiaTheme="minorHAnsi" w:hAnsi="Arial" w:cs="Arial"/>
                <w:color w:val="000000"/>
                <w:sz w:val="18"/>
                <w:szCs w:val="18"/>
              </w:rPr>
              <w:t>11.79699</w:t>
            </w:r>
          </w:p>
        </w:tc>
      </w:tr>
      <w:tr w:rsidR="003B65EE" w14:paraId="28F17539" w14:textId="77777777">
        <w:trPr>
          <w:trHeight w:val="196"/>
        </w:trPr>
        <w:tc>
          <w:tcPr>
            <w:tcW w:w="834" w:type="dxa"/>
            <w:tcBorders>
              <w:top w:val="nil"/>
              <w:left w:val="nil"/>
              <w:bottom w:val="nil"/>
              <w:right w:val="nil"/>
            </w:tcBorders>
            <w:vAlign w:val="bottom"/>
          </w:tcPr>
          <w:p w14:paraId="164476D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5B90E0C3"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600B88E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35910879"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17FEE705"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27C6DCD6" w14:textId="77777777">
        <w:trPr>
          <w:trHeight w:hRule="exact" w:val="78"/>
        </w:trPr>
        <w:tc>
          <w:tcPr>
            <w:tcW w:w="834" w:type="dxa"/>
            <w:tcBorders>
              <w:top w:val="nil"/>
              <w:left w:val="nil"/>
              <w:bottom w:val="double" w:sz="6" w:space="0" w:color="auto"/>
              <w:right w:val="nil"/>
            </w:tcBorders>
            <w:vAlign w:val="bottom"/>
          </w:tcPr>
          <w:p w14:paraId="522ACD58"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double" w:sz="6" w:space="0" w:color="auto"/>
              <w:right w:val="nil"/>
            </w:tcBorders>
            <w:vAlign w:val="bottom"/>
          </w:tcPr>
          <w:p w14:paraId="4F14874E"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double" w:sz="6" w:space="0" w:color="auto"/>
              <w:right w:val="nil"/>
            </w:tcBorders>
            <w:vAlign w:val="bottom"/>
          </w:tcPr>
          <w:p w14:paraId="6197891C"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double" w:sz="6" w:space="0" w:color="auto"/>
              <w:right w:val="nil"/>
            </w:tcBorders>
            <w:vAlign w:val="bottom"/>
          </w:tcPr>
          <w:p w14:paraId="0D73E5D8"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double" w:sz="6" w:space="0" w:color="auto"/>
              <w:right w:val="nil"/>
            </w:tcBorders>
            <w:vAlign w:val="bottom"/>
          </w:tcPr>
          <w:p w14:paraId="32454DCF" w14:textId="77777777" w:rsidR="003B65EE" w:rsidRDefault="003B65EE">
            <w:pPr>
              <w:autoSpaceDE w:val="0"/>
              <w:autoSpaceDN w:val="0"/>
              <w:adjustRightInd w:val="0"/>
              <w:jc w:val="center"/>
              <w:rPr>
                <w:rFonts w:ascii="Arial" w:eastAsiaTheme="minorHAnsi" w:hAnsi="Arial" w:cs="Arial"/>
                <w:color w:val="000000"/>
                <w:sz w:val="18"/>
                <w:szCs w:val="18"/>
              </w:rPr>
            </w:pPr>
          </w:p>
        </w:tc>
      </w:tr>
      <w:tr w:rsidR="003B65EE" w14:paraId="18284B1C" w14:textId="77777777">
        <w:trPr>
          <w:trHeight w:hRule="exact" w:val="117"/>
        </w:trPr>
        <w:tc>
          <w:tcPr>
            <w:tcW w:w="834" w:type="dxa"/>
            <w:tcBorders>
              <w:top w:val="nil"/>
              <w:left w:val="nil"/>
              <w:bottom w:val="nil"/>
              <w:right w:val="nil"/>
            </w:tcBorders>
            <w:vAlign w:val="bottom"/>
          </w:tcPr>
          <w:p w14:paraId="1312C108"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865" w:type="dxa"/>
            <w:tcBorders>
              <w:top w:val="nil"/>
              <w:left w:val="nil"/>
              <w:bottom w:val="nil"/>
              <w:right w:val="nil"/>
            </w:tcBorders>
            <w:vAlign w:val="bottom"/>
          </w:tcPr>
          <w:p w14:paraId="518407BA"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512950C6"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9" w:type="dxa"/>
            <w:tcBorders>
              <w:top w:val="nil"/>
              <w:left w:val="nil"/>
              <w:bottom w:val="nil"/>
              <w:right w:val="nil"/>
            </w:tcBorders>
            <w:vAlign w:val="bottom"/>
          </w:tcPr>
          <w:p w14:paraId="390C8C7A" w14:textId="77777777" w:rsidR="003B65EE" w:rsidRDefault="003B65EE">
            <w:pPr>
              <w:autoSpaceDE w:val="0"/>
              <w:autoSpaceDN w:val="0"/>
              <w:adjustRightInd w:val="0"/>
              <w:jc w:val="center"/>
              <w:rPr>
                <w:rFonts w:ascii="Arial" w:eastAsiaTheme="minorHAnsi" w:hAnsi="Arial" w:cs="Arial"/>
                <w:color w:val="000000"/>
                <w:sz w:val="18"/>
                <w:szCs w:val="18"/>
              </w:rPr>
            </w:pPr>
          </w:p>
        </w:tc>
        <w:tc>
          <w:tcPr>
            <w:tcW w:w="1228" w:type="dxa"/>
            <w:tcBorders>
              <w:top w:val="nil"/>
              <w:left w:val="nil"/>
              <w:bottom w:val="nil"/>
              <w:right w:val="nil"/>
            </w:tcBorders>
            <w:vAlign w:val="bottom"/>
          </w:tcPr>
          <w:p w14:paraId="31760847" w14:textId="77777777" w:rsidR="003B65EE" w:rsidRDefault="003B65EE">
            <w:pPr>
              <w:autoSpaceDE w:val="0"/>
              <w:autoSpaceDN w:val="0"/>
              <w:adjustRightInd w:val="0"/>
              <w:jc w:val="center"/>
              <w:rPr>
                <w:rFonts w:ascii="Arial" w:eastAsiaTheme="minorHAnsi" w:hAnsi="Arial" w:cs="Arial"/>
                <w:color w:val="000000"/>
                <w:sz w:val="18"/>
                <w:szCs w:val="18"/>
              </w:rPr>
            </w:pPr>
          </w:p>
        </w:tc>
      </w:tr>
    </w:tbl>
    <w:p w14:paraId="7EDC94CB" w14:textId="5CD6374E" w:rsidR="005C7C31" w:rsidRPr="005C7C31" w:rsidRDefault="003B65EE" w:rsidP="005C7C31">
      <w:pPr>
        <w:rPr>
          <w:rFonts w:ascii="Times" w:hAnsi="Times"/>
        </w:rPr>
      </w:pPr>
      <w:r>
        <w:rPr>
          <w:rFonts w:ascii="Arial" w:eastAsiaTheme="minorHAnsi" w:hAnsi="Arial" w:cs="Arial"/>
          <w:sz w:val="18"/>
          <w:szCs w:val="18"/>
        </w:rPr>
        <w:br/>
      </w:r>
    </w:p>
    <w:sectPr w:rsidR="005C7C31" w:rsidRPr="005C7C31" w:rsidSect="005C7C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8FC76" w14:textId="77777777" w:rsidR="00F30C7D" w:rsidRDefault="00F30C7D" w:rsidP="00413E05">
      <w:r>
        <w:separator/>
      </w:r>
    </w:p>
  </w:endnote>
  <w:endnote w:type="continuationSeparator" w:id="0">
    <w:p w14:paraId="3B63928A" w14:textId="77777777" w:rsidR="00F30C7D" w:rsidRDefault="00F30C7D" w:rsidP="00413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帽ƐM"/>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9FDFC" w14:textId="77777777" w:rsidR="00F30C7D" w:rsidRDefault="00F30C7D" w:rsidP="00413E05">
      <w:r>
        <w:separator/>
      </w:r>
    </w:p>
  </w:footnote>
  <w:footnote w:type="continuationSeparator" w:id="0">
    <w:p w14:paraId="1B1BCFF3" w14:textId="77777777" w:rsidR="00F30C7D" w:rsidRDefault="00F30C7D" w:rsidP="00413E05">
      <w:r>
        <w:continuationSeparator/>
      </w:r>
    </w:p>
  </w:footnote>
  <w:footnote w:id="1">
    <w:p w14:paraId="130A37CA" w14:textId="1CEAC77F" w:rsidR="00066CF4" w:rsidRPr="00CD0BAD" w:rsidRDefault="00066CF4">
      <w:pPr>
        <w:pStyle w:val="FootnoteText"/>
        <w:rPr>
          <w:rFonts w:ascii="Times" w:hAnsi="Times"/>
        </w:rPr>
      </w:pPr>
      <w:r w:rsidRPr="006A0FFF">
        <w:rPr>
          <w:rStyle w:val="FootnoteReference"/>
          <w:rFonts w:ascii="Times" w:hAnsi="Times"/>
          <w:sz w:val="32"/>
        </w:rPr>
        <w:footnoteRef/>
      </w:r>
      <w:r w:rsidRPr="006A0FFF">
        <w:rPr>
          <w:rFonts w:ascii="Times" w:hAnsi="Times"/>
          <w:sz w:val="32"/>
        </w:rPr>
        <w:t xml:space="preserve"> </w:t>
      </w:r>
      <w:r w:rsidRPr="00CD0BAD">
        <w:rPr>
          <w:rFonts w:ascii="Times" w:hAnsi="Times"/>
        </w:rPr>
        <w:t>The observations are averages for each week ending on Friday.</w:t>
      </w:r>
    </w:p>
  </w:footnote>
  <w:footnote w:id="2">
    <w:p w14:paraId="77A824DB" w14:textId="73F8C729" w:rsidR="00066CF4" w:rsidRPr="00CD0BAD" w:rsidRDefault="00066CF4">
      <w:pPr>
        <w:pStyle w:val="FootnoteText"/>
        <w:rPr>
          <w:rFonts w:ascii="Times" w:hAnsi="Times"/>
        </w:rPr>
      </w:pPr>
      <w:r w:rsidRPr="006A0FFF">
        <w:rPr>
          <w:rStyle w:val="FootnoteReference"/>
          <w:rFonts w:ascii="Times" w:hAnsi="Times"/>
          <w:sz w:val="32"/>
          <w:szCs w:val="32"/>
        </w:rPr>
        <w:footnoteRef/>
      </w:r>
      <w:r w:rsidRPr="006A0FFF">
        <w:rPr>
          <w:rFonts w:ascii="Times" w:hAnsi="Times"/>
          <w:sz w:val="32"/>
          <w:szCs w:val="32"/>
        </w:rPr>
        <w:t xml:space="preserve"> </w:t>
      </w:r>
      <w:r w:rsidRPr="00CD0BAD">
        <w:rPr>
          <w:rFonts w:ascii="Times" w:hAnsi="Times"/>
        </w:rPr>
        <w:t xml:space="preserve">The top 5 natural gas consumption states </w:t>
      </w:r>
      <w:r>
        <w:rPr>
          <w:rFonts w:ascii="Times" w:hAnsi="Times"/>
        </w:rPr>
        <w:t>are</w:t>
      </w:r>
      <w:r w:rsidRPr="00CD0BAD">
        <w:rPr>
          <w:rFonts w:ascii="Times" w:hAnsi="Times"/>
        </w:rPr>
        <w:t xml:space="preserve"> Pennsylvania, </w:t>
      </w:r>
      <w:r>
        <w:rPr>
          <w:rFonts w:ascii="Times" w:hAnsi="Times"/>
        </w:rPr>
        <w:t>Florida</w:t>
      </w:r>
      <w:r w:rsidRPr="00CD0BAD">
        <w:rPr>
          <w:rFonts w:ascii="Times" w:hAnsi="Times"/>
        </w:rPr>
        <w:t>, Texas, Louisiana</w:t>
      </w:r>
      <w:r>
        <w:rPr>
          <w:rFonts w:ascii="Times" w:hAnsi="Times"/>
        </w:rPr>
        <w:t xml:space="preserve"> and </w:t>
      </w:r>
      <w:r w:rsidRPr="00CD0BAD">
        <w:rPr>
          <w:rFonts w:ascii="Times" w:hAnsi="Times"/>
        </w:rPr>
        <w:t xml:space="preserve">California. The weights are as follows: California, 0.20; </w:t>
      </w:r>
      <w:r>
        <w:rPr>
          <w:rFonts w:ascii="Times" w:hAnsi="Times"/>
        </w:rPr>
        <w:t>Florida, 0.13; Louisiana, 0.15; Pennsylvania, 0.12; Texas, 0.37</w:t>
      </w:r>
    </w:p>
  </w:footnote>
  <w:footnote w:id="3">
    <w:p w14:paraId="67C6AADD" w14:textId="3AD8DC64" w:rsidR="00066CF4" w:rsidRPr="00BC1075" w:rsidRDefault="00066CF4">
      <w:pPr>
        <w:pStyle w:val="FootnoteText"/>
        <w:rPr>
          <w:rFonts w:ascii="Times" w:hAnsi="Times"/>
        </w:rPr>
      </w:pPr>
      <w:r w:rsidRPr="00BC1075">
        <w:rPr>
          <w:rStyle w:val="FootnoteReference"/>
          <w:rFonts w:ascii="Times" w:hAnsi="Times"/>
          <w:sz w:val="32"/>
          <w:szCs w:val="32"/>
        </w:rPr>
        <w:footnoteRef/>
      </w:r>
      <w:r w:rsidRPr="00BC1075">
        <w:rPr>
          <w:rFonts w:ascii="Times" w:hAnsi="Times"/>
          <w:sz w:val="32"/>
          <w:szCs w:val="32"/>
        </w:rPr>
        <w:t xml:space="preserve"> </w:t>
      </w:r>
      <w:r w:rsidRPr="00BC1075">
        <w:rPr>
          <w:rFonts w:ascii="Times" w:hAnsi="Times"/>
        </w:rPr>
        <w:t>HDD and CDD are widely used weather derivatives in the energy industry which are traded at the Chicago Mercantile Exchange (CME).</w:t>
      </w:r>
    </w:p>
  </w:footnote>
  <w:footnote w:id="4">
    <w:p w14:paraId="267BDD3C" w14:textId="2CF2CACE" w:rsidR="005C0C5C" w:rsidRPr="005C0C5C" w:rsidRDefault="005C0C5C">
      <w:pPr>
        <w:pStyle w:val="FootnoteText"/>
        <w:rPr>
          <w:rFonts w:ascii="Times New Roman" w:hAnsi="Times New Roman" w:cs="Times New Roman"/>
          <w:sz w:val="24"/>
          <w:szCs w:val="24"/>
        </w:rPr>
      </w:pPr>
      <w:r w:rsidRPr="005C0C5C">
        <w:rPr>
          <w:rStyle w:val="FootnoteReference"/>
          <w:sz w:val="32"/>
          <w:szCs w:val="32"/>
        </w:rPr>
        <w:footnoteRef/>
      </w:r>
      <w:r w:rsidRPr="005C0C5C">
        <w:rPr>
          <w:sz w:val="32"/>
          <w:szCs w:val="32"/>
        </w:rPr>
        <w:t xml:space="preserve"> </w:t>
      </w:r>
      <w:r>
        <w:rPr>
          <w:rFonts w:ascii="Times New Roman" w:hAnsi="Times New Roman" w:cs="Times New Roman"/>
          <w:sz w:val="24"/>
          <w:szCs w:val="24"/>
        </w:rPr>
        <w:t xml:space="preserve">T- stat (gas price) = </w:t>
      </w:r>
      <w:r w:rsidRPr="005C0C5C">
        <w:rPr>
          <w:rFonts w:ascii="Times New Roman" w:hAnsi="Times New Roman" w:cs="Times New Roman"/>
          <w:sz w:val="24"/>
          <w:szCs w:val="24"/>
        </w:rPr>
        <w:t>-3.546417</w:t>
      </w:r>
      <w:r>
        <w:rPr>
          <w:rFonts w:ascii="Times New Roman" w:hAnsi="Times New Roman" w:cs="Times New Roman"/>
          <w:sz w:val="24"/>
          <w:szCs w:val="24"/>
        </w:rPr>
        <w:t xml:space="preserve">; T- stat (difference coal price) = </w:t>
      </w:r>
      <w:r w:rsidRPr="005C0C5C">
        <w:rPr>
          <w:rFonts w:ascii="Times New Roman" w:hAnsi="Times New Roman" w:cs="Times New Roman"/>
          <w:sz w:val="24"/>
          <w:szCs w:val="24"/>
        </w:rPr>
        <w:t>-20.81579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FE1"/>
    <w:multiLevelType w:val="hybridMultilevel"/>
    <w:tmpl w:val="869A6844"/>
    <w:lvl w:ilvl="0" w:tplc="D48A4A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969B2"/>
    <w:multiLevelType w:val="hybridMultilevel"/>
    <w:tmpl w:val="590A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BF109E"/>
    <w:multiLevelType w:val="hybridMultilevel"/>
    <w:tmpl w:val="38F8CF46"/>
    <w:lvl w:ilvl="0" w:tplc="22544D7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F54BC"/>
    <w:multiLevelType w:val="hybridMultilevel"/>
    <w:tmpl w:val="C32ACEFC"/>
    <w:lvl w:ilvl="0" w:tplc="DAEAF2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81D38"/>
    <w:multiLevelType w:val="hybridMultilevel"/>
    <w:tmpl w:val="15827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3056508">
    <w:abstractNumId w:val="1"/>
  </w:num>
  <w:num w:numId="2" w16cid:durableId="722410457">
    <w:abstractNumId w:val="2"/>
  </w:num>
  <w:num w:numId="3" w16cid:durableId="326709846">
    <w:abstractNumId w:val="3"/>
  </w:num>
  <w:num w:numId="4" w16cid:durableId="1040206865">
    <w:abstractNumId w:val="4"/>
  </w:num>
  <w:num w:numId="5" w16cid:durableId="59120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6D"/>
    <w:rsid w:val="0001198A"/>
    <w:rsid w:val="00016F77"/>
    <w:rsid w:val="00066CF4"/>
    <w:rsid w:val="00087908"/>
    <w:rsid w:val="00096E26"/>
    <w:rsid w:val="000A1134"/>
    <w:rsid w:val="000B1E20"/>
    <w:rsid w:val="000B3D9E"/>
    <w:rsid w:val="000F6F99"/>
    <w:rsid w:val="00133625"/>
    <w:rsid w:val="00142D36"/>
    <w:rsid w:val="0016045F"/>
    <w:rsid w:val="0016565C"/>
    <w:rsid w:val="00166911"/>
    <w:rsid w:val="001B607C"/>
    <w:rsid w:val="001C29F7"/>
    <w:rsid w:val="001C5684"/>
    <w:rsid w:val="001D27EC"/>
    <w:rsid w:val="001D34C8"/>
    <w:rsid w:val="001F050E"/>
    <w:rsid w:val="0020069F"/>
    <w:rsid w:val="002101D3"/>
    <w:rsid w:val="002451F0"/>
    <w:rsid w:val="00250A6A"/>
    <w:rsid w:val="00251CBA"/>
    <w:rsid w:val="00254C4A"/>
    <w:rsid w:val="002605B1"/>
    <w:rsid w:val="00276E0C"/>
    <w:rsid w:val="002918B9"/>
    <w:rsid w:val="002D5056"/>
    <w:rsid w:val="002F2479"/>
    <w:rsid w:val="002F4497"/>
    <w:rsid w:val="00325BD5"/>
    <w:rsid w:val="003342CF"/>
    <w:rsid w:val="003677FC"/>
    <w:rsid w:val="00372400"/>
    <w:rsid w:val="00374BF7"/>
    <w:rsid w:val="003B65EE"/>
    <w:rsid w:val="003C0D64"/>
    <w:rsid w:val="003C7D66"/>
    <w:rsid w:val="003D23BC"/>
    <w:rsid w:val="003D73C4"/>
    <w:rsid w:val="003F5B2A"/>
    <w:rsid w:val="003F7506"/>
    <w:rsid w:val="004014FB"/>
    <w:rsid w:val="00402B23"/>
    <w:rsid w:val="00413E05"/>
    <w:rsid w:val="00414699"/>
    <w:rsid w:val="004274B1"/>
    <w:rsid w:val="00433700"/>
    <w:rsid w:val="00437772"/>
    <w:rsid w:val="00444E5B"/>
    <w:rsid w:val="00462DD2"/>
    <w:rsid w:val="004A0BC9"/>
    <w:rsid w:val="004A1C0D"/>
    <w:rsid w:val="004A3795"/>
    <w:rsid w:val="004A4902"/>
    <w:rsid w:val="004B09F7"/>
    <w:rsid w:val="004C0192"/>
    <w:rsid w:val="004C0E76"/>
    <w:rsid w:val="004C26BF"/>
    <w:rsid w:val="004E30CE"/>
    <w:rsid w:val="004E5E57"/>
    <w:rsid w:val="004E75AA"/>
    <w:rsid w:val="005057EB"/>
    <w:rsid w:val="005150F9"/>
    <w:rsid w:val="0052436D"/>
    <w:rsid w:val="00526B3F"/>
    <w:rsid w:val="00530F3E"/>
    <w:rsid w:val="00544C18"/>
    <w:rsid w:val="00570F1E"/>
    <w:rsid w:val="00581035"/>
    <w:rsid w:val="005A49D6"/>
    <w:rsid w:val="005B1323"/>
    <w:rsid w:val="005B2D74"/>
    <w:rsid w:val="005C0C5C"/>
    <w:rsid w:val="005C550F"/>
    <w:rsid w:val="005C7C31"/>
    <w:rsid w:val="005D026F"/>
    <w:rsid w:val="005E0287"/>
    <w:rsid w:val="005E2D4F"/>
    <w:rsid w:val="005F5E1B"/>
    <w:rsid w:val="00660024"/>
    <w:rsid w:val="00667832"/>
    <w:rsid w:val="006913F1"/>
    <w:rsid w:val="006A0FFF"/>
    <w:rsid w:val="006A2381"/>
    <w:rsid w:val="006A2964"/>
    <w:rsid w:val="006B20CD"/>
    <w:rsid w:val="006D5166"/>
    <w:rsid w:val="006D78CB"/>
    <w:rsid w:val="00715E2B"/>
    <w:rsid w:val="00750953"/>
    <w:rsid w:val="007863DA"/>
    <w:rsid w:val="007C1EE3"/>
    <w:rsid w:val="007C21DD"/>
    <w:rsid w:val="007C2B6D"/>
    <w:rsid w:val="007E3BE7"/>
    <w:rsid w:val="007E5DC9"/>
    <w:rsid w:val="007F05BB"/>
    <w:rsid w:val="008007A8"/>
    <w:rsid w:val="00813AA6"/>
    <w:rsid w:val="00826BC3"/>
    <w:rsid w:val="00826FB7"/>
    <w:rsid w:val="008349E4"/>
    <w:rsid w:val="00842590"/>
    <w:rsid w:val="008435EF"/>
    <w:rsid w:val="008519C1"/>
    <w:rsid w:val="00871BC0"/>
    <w:rsid w:val="00873FCD"/>
    <w:rsid w:val="00893FA4"/>
    <w:rsid w:val="008B1B97"/>
    <w:rsid w:val="008B374C"/>
    <w:rsid w:val="008B5076"/>
    <w:rsid w:val="008D3C9A"/>
    <w:rsid w:val="008E2DA0"/>
    <w:rsid w:val="009055B2"/>
    <w:rsid w:val="0090779A"/>
    <w:rsid w:val="0091525A"/>
    <w:rsid w:val="00927FA5"/>
    <w:rsid w:val="009A5B15"/>
    <w:rsid w:val="009C63F6"/>
    <w:rsid w:val="009D21CA"/>
    <w:rsid w:val="009F08DC"/>
    <w:rsid w:val="00A10250"/>
    <w:rsid w:val="00A26027"/>
    <w:rsid w:val="00A42306"/>
    <w:rsid w:val="00A47B57"/>
    <w:rsid w:val="00A84732"/>
    <w:rsid w:val="00A94C91"/>
    <w:rsid w:val="00AA69E6"/>
    <w:rsid w:val="00AA77F2"/>
    <w:rsid w:val="00AB347B"/>
    <w:rsid w:val="00AC0DFB"/>
    <w:rsid w:val="00AD6D1B"/>
    <w:rsid w:val="00AE1134"/>
    <w:rsid w:val="00AE2E5C"/>
    <w:rsid w:val="00AF70E5"/>
    <w:rsid w:val="00B06023"/>
    <w:rsid w:val="00B3104D"/>
    <w:rsid w:val="00B465FB"/>
    <w:rsid w:val="00B67FB5"/>
    <w:rsid w:val="00B82414"/>
    <w:rsid w:val="00B94245"/>
    <w:rsid w:val="00BA21D7"/>
    <w:rsid w:val="00BA264B"/>
    <w:rsid w:val="00BC1075"/>
    <w:rsid w:val="00BC1D29"/>
    <w:rsid w:val="00BC409F"/>
    <w:rsid w:val="00BF04DD"/>
    <w:rsid w:val="00BF5C1B"/>
    <w:rsid w:val="00C1178E"/>
    <w:rsid w:val="00C238EA"/>
    <w:rsid w:val="00C52167"/>
    <w:rsid w:val="00C53980"/>
    <w:rsid w:val="00C605F2"/>
    <w:rsid w:val="00C63763"/>
    <w:rsid w:val="00C65628"/>
    <w:rsid w:val="00C91D23"/>
    <w:rsid w:val="00CB29C3"/>
    <w:rsid w:val="00CB5BD4"/>
    <w:rsid w:val="00CC5336"/>
    <w:rsid w:val="00CD0BAD"/>
    <w:rsid w:val="00CD5E26"/>
    <w:rsid w:val="00D26830"/>
    <w:rsid w:val="00D37F8A"/>
    <w:rsid w:val="00D66D55"/>
    <w:rsid w:val="00D91A73"/>
    <w:rsid w:val="00DB7C32"/>
    <w:rsid w:val="00DE34FD"/>
    <w:rsid w:val="00DF153F"/>
    <w:rsid w:val="00DF56D8"/>
    <w:rsid w:val="00E1289A"/>
    <w:rsid w:val="00E171CB"/>
    <w:rsid w:val="00E56326"/>
    <w:rsid w:val="00E77144"/>
    <w:rsid w:val="00EA07C1"/>
    <w:rsid w:val="00ED2F58"/>
    <w:rsid w:val="00EE0C98"/>
    <w:rsid w:val="00EF7AC9"/>
    <w:rsid w:val="00F1599D"/>
    <w:rsid w:val="00F30C7D"/>
    <w:rsid w:val="00F36CFF"/>
    <w:rsid w:val="00F418AB"/>
    <w:rsid w:val="00F44D03"/>
    <w:rsid w:val="00F60BA0"/>
    <w:rsid w:val="00F850E9"/>
    <w:rsid w:val="00FC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B532F"/>
  <w15:chartTrackingRefBased/>
  <w15:docId w15:val="{457E6738-6487-1147-ABB0-B3C49324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95"/>
    <w:rPr>
      <w:rFonts w:ascii="Times New Roman" w:eastAsia="Times New Roman" w:hAnsi="Times New Roman" w:cs="Times New Roman"/>
    </w:rPr>
  </w:style>
  <w:style w:type="paragraph" w:styleId="Heading1">
    <w:name w:val="heading 1"/>
    <w:basedOn w:val="Normal"/>
    <w:next w:val="Normal"/>
    <w:link w:val="Heading1Char"/>
    <w:uiPriority w:val="9"/>
    <w:qFormat/>
    <w:rsid w:val="00D26830"/>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C117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13E0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13E05"/>
    <w:rPr>
      <w:sz w:val="20"/>
      <w:szCs w:val="20"/>
    </w:rPr>
  </w:style>
  <w:style w:type="character" w:styleId="FootnoteReference">
    <w:name w:val="footnote reference"/>
    <w:basedOn w:val="DefaultParagraphFont"/>
    <w:uiPriority w:val="99"/>
    <w:semiHidden/>
    <w:unhideWhenUsed/>
    <w:rsid w:val="00413E05"/>
    <w:rPr>
      <w:vertAlign w:val="superscript"/>
    </w:rPr>
  </w:style>
  <w:style w:type="table" w:styleId="PlainTable4">
    <w:name w:val="Plain Table 4"/>
    <w:basedOn w:val="TableNormal"/>
    <w:uiPriority w:val="44"/>
    <w:rsid w:val="00E5632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39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C539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C5398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D37F8A"/>
    <w:rPr>
      <w:rFonts w:eastAsiaTheme="minorHAnsi"/>
      <w:sz w:val="18"/>
      <w:szCs w:val="18"/>
    </w:rPr>
  </w:style>
  <w:style w:type="character" w:customStyle="1" w:styleId="BalloonTextChar">
    <w:name w:val="Balloon Text Char"/>
    <w:basedOn w:val="DefaultParagraphFont"/>
    <w:link w:val="BalloonText"/>
    <w:uiPriority w:val="99"/>
    <w:semiHidden/>
    <w:rsid w:val="00D37F8A"/>
    <w:rPr>
      <w:rFonts w:ascii="Times New Roman" w:hAnsi="Times New Roman" w:cs="Times New Roman"/>
      <w:sz w:val="18"/>
      <w:szCs w:val="18"/>
    </w:rPr>
  </w:style>
  <w:style w:type="character" w:styleId="PlaceholderText">
    <w:name w:val="Placeholder Text"/>
    <w:basedOn w:val="DefaultParagraphFont"/>
    <w:uiPriority w:val="99"/>
    <w:semiHidden/>
    <w:rsid w:val="005C550F"/>
    <w:rPr>
      <w:color w:val="808080"/>
    </w:rPr>
  </w:style>
  <w:style w:type="table" w:styleId="TableGridLight">
    <w:name w:val="Grid Table Light"/>
    <w:basedOn w:val="TableNormal"/>
    <w:uiPriority w:val="40"/>
    <w:rsid w:val="005B132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5B132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5B132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D26830"/>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D26830"/>
  </w:style>
  <w:style w:type="character" w:styleId="CommentReference">
    <w:name w:val="annotation reference"/>
    <w:basedOn w:val="DefaultParagraphFont"/>
    <w:uiPriority w:val="99"/>
    <w:semiHidden/>
    <w:unhideWhenUsed/>
    <w:rsid w:val="004B09F7"/>
    <w:rPr>
      <w:sz w:val="16"/>
      <w:szCs w:val="16"/>
    </w:rPr>
  </w:style>
  <w:style w:type="paragraph" w:styleId="CommentText">
    <w:name w:val="annotation text"/>
    <w:basedOn w:val="Normal"/>
    <w:link w:val="CommentTextChar"/>
    <w:uiPriority w:val="99"/>
    <w:semiHidden/>
    <w:unhideWhenUsed/>
    <w:rsid w:val="004B09F7"/>
    <w:rPr>
      <w:sz w:val="20"/>
      <w:szCs w:val="20"/>
    </w:rPr>
  </w:style>
  <w:style w:type="character" w:customStyle="1" w:styleId="CommentTextChar">
    <w:name w:val="Comment Text Char"/>
    <w:basedOn w:val="DefaultParagraphFont"/>
    <w:link w:val="CommentText"/>
    <w:uiPriority w:val="99"/>
    <w:semiHidden/>
    <w:rsid w:val="004B09F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B09F7"/>
    <w:rPr>
      <w:b/>
      <w:bCs/>
    </w:rPr>
  </w:style>
  <w:style w:type="character" w:customStyle="1" w:styleId="CommentSubjectChar">
    <w:name w:val="Comment Subject Char"/>
    <w:basedOn w:val="CommentTextChar"/>
    <w:link w:val="CommentSubject"/>
    <w:uiPriority w:val="99"/>
    <w:semiHidden/>
    <w:rsid w:val="004B09F7"/>
    <w:rPr>
      <w:rFonts w:ascii="Times New Roman" w:eastAsia="Times New Roman" w:hAnsi="Times New Roman" w:cs="Times New Roman"/>
      <w:b/>
      <w:bCs/>
      <w:sz w:val="20"/>
      <w:szCs w:val="20"/>
    </w:rPr>
  </w:style>
  <w:style w:type="table" w:styleId="PlainTable1">
    <w:name w:val="Plain Table 1"/>
    <w:basedOn w:val="TableNormal"/>
    <w:uiPriority w:val="41"/>
    <w:rsid w:val="004A379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4A379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C0E76"/>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C117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E5D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3982">
      <w:bodyDiv w:val="1"/>
      <w:marLeft w:val="0"/>
      <w:marRight w:val="0"/>
      <w:marTop w:val="0"/>
      <w:marBottom w:val="0"/>
      <w:divBdr>
        <w:top w:val="none" w:sz="0" w:space="0" w:color="auto"/>
        <w:left w:val="none" w:sz="0" w:space="0" w:color="auto"/>
        <w:bottom w:val="none" w:sz="0" w:space="0" w:color="auto"/>
        <w:right w:val="none" w:sz="0" w:space="0" w:color="auto"/>
      </w:divBdr>
    </w:div>
    <w:div w:id="61103901">
      <w:bodyDiv w:val="1"/>
      <w:marLeft w:val="0"/>
      <w:marRight w:val="0"/>
      <w:marTop w:val="0"/>
      <w:marBottom w:val="0"/>
      <w:divBdr>
        <w:top w:val="none" w:sz="0" w:space="0" w:color="auto"/>
        <w:left w:val="none" w:sz="0" w:space="0" w:color="auto"/>
        <w:bottom w:val="none" w:sz="0" w:space="0" w:color="auto"/>
        <w:right w:val="none" w:sz="0" w:space="0" w:color="auto"/>
      </w:divBdr>
    </w:div>
    <w:div w:id="144780341">
      <w:bodyDiv w:val="1"/>
      <w:marLeft w:val="0"/>
      <w:marRight w:val="0"/>
      <w:marTop w:val="0"/>
      <w:marBottom w:val="0"/>
      <w:divBdr>
        <w:top w:val="none" w:sz="0" w:space="0" w:color="auto"/>
        <w:left w:val="none" w:sz="0" w:space="0" w:color="auto"/>
        <w:bottom w:val="none" w:sz="0" w:space="0" w:color="auto"/>
        <w:right w:val="none" w:sz="0" w:space="0" w:color="auto"/>
      </w:divBdr>
    </w:div>
    <w:div w:id="151724438">
      <w:bodyDiv w:val="1"/>
      <w:marLeft w:val="0"/>
      <w:marRight w:val="0"/>
      <w:marTop w:val="0"/>
      <w:marBottom w:val="0"/>
      <w:divBdr>
        <w:top w:val="none" w:sz="0" w:space="0" w:color="auto"/>
        <w:left w:val="none" w:sz="0" w:space="0" w:color="auto"/>
        <w:bottom w:val="none" w:sz="0" w:space="0" w:color="auto"/>
        <w:right w:val="none" w:sz="0" w:space="0" w:color="auto"/>
      </w:divBdr>
    </w:div>
    <w:div w:id="306937310">
      <w:bodyDiv w:val="1"/>
      <w:marLeft w:val="0"/>
      <w:marRight w:val="0"/>
      <w:marTop w:val="0"/>
      <w:marBottom w:val="0"/>
      <w:divBdr>
        <w:top w:val="none" w:sz="0" w:space="0" w:color="auto"/>
        <w:left w:val="none" w:sz="0" w:space="0" w:color="auto"/>
        <w:bottom w:val="none" w:sz="0" w:space="0" w:color="auto"/>
        <w:right w:val="none" w:sz="0" w:space="0" w:color="auto"/>
      </w:divBdr>
    </w:div>
    <w:div w:id="403144541">
      <w:bodyDiv w:val="1"/>
      <w:marLeft w:val="0"/>
      <w:marRight w:val="0"/>
      <w:marTop w:val="0"/>
      <w:marBottom w:val="0"/>
      <w:divBdr>
        <w:top w:val="none" w:sz="0" w:space="0" w:color="auto"/>
        <w:left w:val="none" w:sz="0" w:space="0" w:color="auto"/>
        <w:bottom w:val="none" w:sz="0" w:space="0" w:color="auto"/>
        <w:right w:val="none" w:sz="0" w:space="0" w:color="auto"/>
      </w:divBdr>
    </w:div>
    <w:div w:id="409890918">
      <w:bodyDiv w:val="1"/>
      <w:marLeft w:val="0"/>
      <w:marRight w:val="0"/>
      <w:marTop w:val="0"/>
      <w:marBottom w:val="0"/>
      <w:divBdr>
        <w:top w:val="none" w:sz="0" w:space="0" w:color="auto"/>
        <w:left w:val="none" w:sz="0" w:space="0" w:color="auto"/>
        <w:bottom w:val="none" w:sz="0" w:space="0" w:color="auto"/>
        <w:right w:val="none" w:sz="0" w:space="0" w:color="auto"/>
      </w:divBdr>
    </w:div>
    <w:div w:id="462622053">
      <w:bodyDiv w:val="1"/>
      <w:marLeft w:val="0"/>
      <w:marRight w:val="0"/>
      <w:marTop w:val="0"/>
      <w:marBottom w:val="0"/>
      <w:divBdr>
        <w:top w:val="none" w:sz="0" w:space="0" w:color="auto"/>
        <w:left w:val="none" w:sz="0" w:space="0" w:color="auto"/>
        <w:bottom w:val="none" w:sz="0" w:space="0" w:color="auto"/>
        <w:right w:val="none" w:sz="0" w:space="0" w:color="auto"/>
      </w:divBdr>
    </w:div>
    <w:div w:id="496506242">
      <w:bodyDiv w:val="1"/>
      <w:marLeft w:val="0"/>
      <w:marRight w:val="0"/>
      <w:marTop w:val="0"/>
      <w:marBottom w:val="0"/>
      <w:divBdr>
        <w:top w:val="none" w:sz="0" w:space="0" w:color="auto"/>
        <w:left w:val="none" w:sz="0" w:space="0" w:color="auto"/>
        <w:bottom w:val="none" w:sz="0" w:space="0" w:color="auto"/>
        <w:right w:val="none" w:sz="0" w:space="0" w:color="auto"/>
      </w:divBdr>
    </w:div>
    <w:div w:id="499082636">
      <w:bodyDiv w:val="1"/>
      <w:marLeft w:val="0"/>
      <w:marRight w:val="0"/>
      <w:marTop w:val="0"/>
      <w:marBottom w:val="0"/>
      <w:divBdr>
        <w:top w:val="none" w:sz="0" w:space="0" w:color="auto"/>
        <w:left w:val="none" w:sz="0" w:space="0" w:color="auto"/>
        <w:bottom w:val="none" w:sz="0" w:space="0" w:color="auto"/>
        <w:right w:val="none" w:sz="0" w:space="0" w:color="auto"/>
      </w:divBdr>
    </w:div>
    <w:div w:id="544802550">
      <w:bodyDiv w:val="1"/>
      <w:marLeft w:val="0"/>
      <w:marRight w:val="0"/>
      <w:marTop w:val="0"/>
      <w:marBottom w:val="0"/>
      <w:divBdr>
        <w:top w:val="none" w:sz="0" w:space="0" w:color="auto"/>
        <w:left w:val="none" w:sz="0" w:space="0" w:color="auto"/>
        <w:bottom w:val="none" w:sz="0" w:space="0" w:color="auto"/>
        <w:right w:val="none" w:sz="0" w:space="0" w:color="auto"/>
      </w:divBdr>
    </w:div>
    <w:div w:id="550729281">
      <w:bodyDiv w:val="1"/>
      <w:marLeft w:val="0"/>
      <w:marRight w:val="0"/>
      <w:marTop w:val="0"/>
      <w:marBottom w:val="0"/>
      <w:divBdr>
        <w:top w:val="none" w:sz="0" w:space="0" w:color="auto"/>
        <w:left w:val="none" w:sz="0" w:space="0" w:color="auto"/>
        <w:bottom w:val="none" w:sz="0" w:space="0" w:color="auto"/>
        <w:right w:val="none" w:sz="0" w:space="0" w:color="auto"/>
      </w:divBdr>
    </w:div>
    <w:div w:id="565607999">
      <w:bodyDiv w:val="1"/>
      <w:marLeft w:val="0"/>
      <w:marRight w:val="0"/>
      <w:marTop w:val="0"/>
      <w:marBottom w:val="0"/>
      <w:divBdr>
        <w:top w:val="none" w:sz="0" w:space="0" w:color="auto"/>
        <w:left w:val="none" w:sz="0" w:space="0" w:color="auto"/>
        <w:bottom w:val="none" w:sz="0" w:space="0" w:color="auto"/>
        <w:right w:val="none" w:sz="0" w:space="0" w:color="auto"/>
      </w:divBdr>
    </w:div>
    <w:div w:id="783159459">
      <w:bodyDiv w:val="1"/>
      <w:marLeft w:val="0"/>
      <w:marRight w:val="0"/>
      <w:marTop w:val="0"/>
      <w:marBottom w:val="0"/>
      <w:divBdr>
        <w:top w:val="none" w:sz="0" w:space="0" w:color="auto"/>
        <w:left w:val="none" w:sz="0" w:space="0" w:color="auto"/>
        <w:bottom w:val="none" w:sz="0" w:space="0" w:color="auto"/>
        <w:right w:val="none" w:sz="0" w:space="0" w:color="auto"/>
      </w:divBdr>
    </w:div>
    <w:div w:id="865020933">
      <w:bodyDiv w:val="1"/>
      <w:marLeft w:val="0"/>
      <w:marRight w:val="0"/>
      <w:marTop w:val="0"/>
      <w:marBottom w:val="0"/>
      <w:divBdr>
        <w:top w:val="none" w:sz="0" w:space="0" w:color="auto"/>
        <w:left w:val="none" w:sz="0" w:space="0" w:color="auto"/>
        <w:bottom w:val="none" w:sz="0" w:space="0" w:color="auto"/>
        <w:right w:val="none" w:sz="0" w:space="0" w:color="auto"/>
      </w:divBdr>
    </w:div>
    <w:div w:id="897325675">
      <w:bodyDiv w:val="1"/>
      <w:marLeft w:val="0"/>
      <w:marRight w:val="0"/>
      <w:marTop w:val="0"/>
      <w:marBottom w:val="0"/>
      <w:divBdr>
        <w:top w:val="none" w:sz="0" w:space="0" w:color="auto"/>
        <w:left w:val="none" w:sz="0" w:space="0" w:color="auto"/>
        <w:bottom w:val="none" w:sz="0" w:space="0" w:color="auto"/>
        <w:right w:val="none" w:sz="0" w:space="0" w:color="auto"/>
      </w:divBdr>
    </w:div>
    <w:div w:id="932128575">
      <w:bodyDiv w:val="1"/>
      <w:marLeft w:val="0"/>
      <w:marRight w:val="0"/>
      <w:marTop w:val="0"/>
      <w:marBottom w:val="0"/>
      <w:divBdr>
        <w:top w:val="none" w:sz="0" w:space="0" w:color="auto"/>
        <w:left w:val="none" w:sz="0" w:space="0" w:color="auto"/>
        <w:bottom w:val="none" w:sz="0" w:space="0" w:color="auto"/>
        <w:right w:val="none" w:sz="0" w:space="0" w:color="auto"/>
      </w:divBdr>
    </w:div>
    <w:div w:id="1040324828">
      <w:bodyDiv w:val="1"/>
      <w:marLeft w:val="0"/>
      <w:marRight w:val="0"/>
      <w:marTop w:val="0"/>
      <w:marBottom w:val="0"/>
      <w:divBdr>
        <w:top w:val="none" w:sz="0" w:space="0" w:color="auto"/>
        <w:left w:val="none" w:sz="0" w:space="0" w:color="auto"/>
        <w:bottom w:val="none" w:sz="0" w:space="0" w:color="auto"/>
        <w:right w:val="none" w:sz="0" w:space="0" w:color="auto"/>
      </w:divBdr>
    </w:div>
    <w:div w:id="1045134931">
      <w:bodyDiv w:val="1"/>
      <w:marLeft w:val="0"/>
      <w:marRight w:val="0"/>
      <w:marTop w:val="0"/>
      <w:marBottom w:val="0"/>
      <w:divBdr>
        <w:top w:val="none" w:sz="0" w:space="0" w:color="auto"/>
        <w:left w:val="none" w:sz="0" w:space="0" w:color="auto"/>
        <w:bottom w:val="none" w:sz="0" w:space="0" w:color="auto"/>
        <w:right w:val="none" w:sz="0" w:space="0" w:color="auto"/>
      </w:divBdr>
    </w:div>
    <w:div w:id="1054236664">
      <w:bodyDiv w:val="1"/>
      <w:marLeft w:val="0"/>
      <w:marRight w:val="0"/>
      <w:marTop w:val="0"/>
      <w:marBottom w:val="0"/>
      <w:divBdr>
        <w:top w:val="none" w:sz="0" w:space="0" w:color="auto"/>
        <w:left w:val="none" w:sz="0" w:space="0" w:color="auto"/>
        <w:bottom w:val="none" w:sz="0" w:space="0" w:color="auto"/>
        <w:right w:val="none" w:sz="0" w:space="0" w:color="auto"/>
      </w:divBdr>
    </w:div>
    <w:div w:id="1086997561">
      <w:bodyDiv w:val="1"/>
      <w:marLeft w:val="0"/>
      <w:marRight w:val="0"/>
      <w:marTop w:val="0"/>
      <w:marBottom w:val="0"/>
      <w:divBdr>
        <w:top w:val="none" w:sz="0" w:space="0" w:color="auto"/>
        <w:left w:val="none" w:sz="0" w:space="0" w:color="auto"/>
        <w:bottom w:val="none" w:sz="0" w:space="0" w:color="auto"/>
        <w:right w:val="none" w:sz="0" w:space="0" w:color="auto"/>
      </w:divBdr>
    </w:div>
    <w:div w:id="1101871906">
      <w:bodyDiv w:val="1"/>
      <w:marLeft w:val="0"/>
      <w:marRight w:val="0"/>
      <w:marTop w:val="0"/>
      <w:marBottom w:val="0"/>
      <w:divBdr>
        <w:top w:val="none" w:sz="0" w:space="0" w:color="auto"/>
        <w:left w:val="none" w:sz="0" w:space="0" w:color="auto"/>
        <w:bottom w:val="none" w:sz="0" w:space="0" w:color="auto"/>
        <w:right w:val="none" w:sz="0" w:space="0" w:color="auto"/>
      </w:divBdr>
    </w:div>
    <w:div w:id="1211501182">
      <w:bodyDiv w:val="1"/>
      <w:marLeft w:val="0"/>
      <w:marRight w:val="0"/>
      <w:marTop w:val="0"/>
      <w:marBottom w:val="0"/>
      <w:divBdr>
        <w:top w:val="none" w:sz="0" w:space="0" w:color="auto"/>
        <w:left w:val="none" w:sz="0" w:space="0" w:color="auto"/>
        <w:bottom w:val="none" w:sz="0" w:space="0" w:color="auto"/>
        <w:right w:val="none" w:sz="0" w:space="0" w:color="auto"/>
      </w:divBdr>
    </w:div>
    <w:div w:id="1212839013">
      <w:bodyDiv w:val="1"/>
      <w:marLeft w:val="0"/>
      <w:marRight w:val="0"/>
      <w:marTop w:val="0"/>
      <w:marBottom w:val="0"/>
      <w:divBdr>
        <w:top w:val="none" w:sz="0" w:space="0" w:color="auto"/>
        <w:left w:val="none" w:sz="0" w:space="0" w:color="auto"/>
        <w:bottom w:val="none" w:sz="0" w:space="0" w:color="auto"/>
        <w:right w:val="none" w:sz="0" w:space="0" w:color="auto"/>
      </w:divBdr>
    </w:div>
    <w:div w:id="1221939753">
      <w:bodyDiv w:val="1"/>
      <w:marLeft w:val="0"/>
      <w:marRight w:val="0"/>
      <w:marTop w:val="0"/>
      <w:marBottom w:val="0"/>
      <w:divBdr>
        <w:top w:val="none" w:sz="0" w:space="0" w:color="auto"/>
        <w:left w:val="none" w:sz="0" w:space="0" w:color="auto"/>
        <w:bottom w:val="none" w:sz="0" w:space="0" w:color="auto"/>
        <w:right w:val="none" w:sz="0" w:space="0" w:color="auto"/>
      </w:divBdr>
    </w:div>
    <w:div w:id="1408577990">
      <w:bodyDiv w:val="1"/>
      <w:marLeft w:val="0"/>
      <w:marRight w:val="0"/>
      <w:marTop w:val="0"/>
      <w:marBottom w:val="0"/>
      <w:divBdr>
        <w:top w:val="none" w:sz="0" w:space="0" w:color="auto"/>
        <w:left w:val="none" w:sz="0" w:space="0" w:color="auto"/>
        <w:bottom w:val="none" w:sz="0" w:space="0" w:color="auto"/>
        <w:right w:val="none" w:sz="0" w:space="0" w:color="auto"/>
      </w:divBdr>
    </w:div>
    <w:div w:id="1547913127">
      <w:bodyDiv w:val="1"/>
      <w:marLeft w:val="0"/>
      <w:marRight w:val="0"/>
      <w:marTop w:val="0"/>
      <w:marBottom w:val="0"/>
      <w:divBdr>
        <w:top w:val="none" w:sz="0" w:space="0" w:color="auto"/>
        <w:left w:val="none" w:sz="0" w:space="0" w:color="auto"/>
        <w:bottom w:val="none" w:sz="0" w:space="0" w:color="auto"/>
        <w:right w:val="none" w:sz="0" w:space="0" w:color="auto"/>
      </w:divBdr>
    </w:div>
    <w:div w:id="1800878793">
      <w:bodyDiv w:val="1"/>
      <w:marLeft w:val="0"/>
      <w:marRight w:val="0"/>
      <w:marTop w:val="0"/>
      <w:marBottom w:val="0"/>
      <w:divBdr>
        <w:top w:val="none" w:sz="0" w:space="0" w:color="auto"/>
        <w:left w:val="none" w:sz="0" w:space="0" w:color="auto"/>
        <w:bottom w:val="none" w:sz="0" w:space="0" w:color="auto"/>
        <w:right w:val="none" w:sz="0" w:space="0" w:color="auto"/>
      </w:divBdr>
    </w:div>
    <w:div w:id="1917208617">
      <w:bodyDiv w:val="1"/>
      <w:marLeft w:val="0"/>
      <w:marRight w:val="0"/>
      <w:marTop w:val="0"/>
      <w:marBottom w:val="0"/>
      <w:divBdr>
        <w:top w:val="none" w:sz="0" w:space="0" w:color="auto"/>
        <w:left w:val="none" w:sz="0" w:space="0" w:color="auto"/>
        <w:bottom w:val="none" w:sz="0" w:space="0" w:color="auto"/>
        <w:right w:val="none" w:sz="0" w:space="0" w:color="auto"/>
      </w:divBdr>
    </w:div>
    <w:div w:id="1960721626">
      <w:bodyDiv w:val="1"/>
      <w:marLeft w:val="0"/>
      <w:marRight w:val="0"/>
      <w:marTop w:val="0"/>
      <w:marBottom w:val="0"/>
      <w:divBdr>
        <w:top w:val="none" w:sz="0" w:space="0" w:color="auto"/>
        <w:left w:val="none" w:sz="0" w:space="0" w:color="auto"/>
        <w:bottom w:val="none" w:sz="0" w:space="0" w:color="auto"/>
        <w:right w:val="none" w:sz="0" w:space="0" w:color="auto"/>
      </w:divBdr>
    </w:div>
    <w:div w:id="209728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F6447-E711-7041-842C-199B316825B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Lui12</b:Tag>
    <b:SourceType>JournalArticle</b:SourceType>
    <b:Guid>{23761586-89DE-8A43-B4E6-FE71C1D2511C}</b:Guid>
    <b:Title>Determinants of commodity prices</b:Title>
    <b:Year>2012</b:Year>
    <b:Author>
      <b:Author>
        <b:NameList>
          <b:Person>
            <b:Last>Arango</b:Last>
            <b:First>L.</b:First>
            <b:Middle>E.</b:Middle>
          </b:Person>
          <b:Person>
            <b:Last>Arias</b:Last>
            <b:First>F.</b:First>
          </b:Person>
          <b:Person>
            <b:Last>Florez</b:Last>
            <b:First>A.</b:First>
          </b:Person>
        </b:NameList>
      </b:Author>
    </b:Author>
    <b:JournalName>Applied Economics</b:JournalName>
    <b:Pages>135-145</b:Pages>
    <b:Volume>44</b:Volume>
    <b:RefOrder>1</b:RefOrder>
  </b:Source>
  <b:Source>
    <b:Tag>Fra06</b:Tag>
    <b:SourceType>Report</b:SourceType>
    <b:Guid>{F9F613BC-8946-B044-86CB-D283CD09C78A}</b:Guid>
    <b:Author>
      <b:Author>
        <b:NameList>
          <b:Person>
            <b:Last>Frankel</b:Last>
            <b:First>J.</b:First>
            <b:Middle>A.</b:Middle>
          </b:Person>
        </b:NameList>
      </b:Author>
    </b:Author>
    <b:Title>The effects of monetary policy on real commodity prices</b:Title>
    <b:Publisher>National Bureau of Economic Research (NBER)</b:Publisher>
    <b:City>Cambridge, MA</b:City>
    <b:Year>2006</b:Year>
    <b:ThesisType>Working Paper</b:ThesisType>
    <b:Pages>344-348</b:Pages>
    <b:StandardNumber>12713</b:StandardNumber>
    <b:RefOrder>2</b:RefOrder>
  </b:Source>
  <b:Source>
    <b:Tag>Seb13</b:Tag>
    <b:SourceType>JournalArticle</b:SourceType>
    <b:Guid>{FC77AB34-F013-6141-B511-057D7134FBFC}</b:Guid>
    <b:Author>
      <b:Author>
        <b:NameList>
          <b:Person>
            <b:Last>Sebastian</b:Last>
            <b:First>N.</b:First>
          </b:Person>
          <b:Person>
            <b:Last>Stefan</b:Last>
            <b:First>T.</b:First>
          </b:Person>
        </b:NameList>
      </b:Author>
    </b:Author>
    <b:Title>What drives natural gas prices? - A Structural VAR Approach</b:Title>
    <b:JournalName>EWI Working Paper</b:JournalName>
    <b:Year>2013</b:Year>
    <b:Publisher>Institute of Energy Economics at the University of Cologne</b:Publisher>
    <b:City>Koln</b:City>
    <b:Volume>13</b:Volume>
    <b:Issue>2</b:Issue>
    <b:RefOrder>3</b:RefOrder>
  </b:Source>
  <b:Source>
    <b:Tag>Ghy18</b:Tag>
    <b:SourceType>Book</b:SourceType>
    <b:Guid>{A58E6FBF-0AA2-F848-AC61-6A1018F55190}</b:Guid>
    <b:Title>Applied economic forecasting using time series methods</b:Title>
    <b:City>New York</b:City>
    <b:Publisher>Oxford University Press</b:Publisher>
    <b:Year>2018</b:Year>
    <b:Pages>290</b:Pages>
    <b:Author>
      <b:Author>
        <b:NameList>
          <b:Person>
            <b:Last>Ghyssels</b:Last>
            <b:First>E.</b:First>
          </b:Person>
          <b:Person>
            <b:Last>Marcellino</b:Last>
            <b:First>M.</b:First>
          </b:Person>
        </b:NameList>
      </b:Author>
    </b:Author>
    <b:StateProvince>NY</b:StateProvince>
    <b:CountryRegion>US</b:CountryRegion>
    <b:RefOrder>4</b:RefOrder>
  </b:Source>
  <b:Source>
    <b:Tag>Fra86</b:Tag>
    <b:SourceType>JournalArticle</b:SourceType>
    <b:Guid>{518C7610-245A-B847-BD28-B46AB959AAA4}</b:Guid>
    <b:Author>
      <b:Author>
        <b:NameList>
          <b:Person>
            <b:Last>Frankel</b:Last>
            <b:First>J.</b:First>
            <b:Middle>A.</b:Middle>
          </b:Person>
        </b:NameList>
      </b:Author>
    </b:Author>
    <b:Title>Expectations and commodity price dynamics: The overshooting model</b:Title>
    <b:JournalName>American Journal of Agricultural Economics</b:JournalName>
    <b:Year>1986</b:Year>
    <b:Pages>344-348</b:Pages>
    <b:Volume>68</b:Volume>
    <b:Issue>2</b:Issue>
    <b:RefOrder>5</b:RefOrder>
  </b:Source>
  <b:Source>
    <b:Tag>Zha18</b:Tag>
    <b:SourceType>JournalArticle</b:SourceType>
    <b:Guid>{9BDEFF16-F9E2-CF42-9D91-08E39CE8DEBF}</b:Guid>
    <b:Title>Further evidence on the debate of oil-gas price decoupling: A long memory approach</b:Title>
    <b:Year>2018</b:Year>
    <b:Author>
      <b:Author>
        <b:NameList>
          <b:Person>
            <b:Last>Zhang</b:Last>
            <b:First>D.</b:First>
          </b:Person>
          <b:Person>
            <b:Last>Ji</b:Last>
            <b:First>Q.</b:First>
          </b:Person>
        </b:NameList>
      </b:Author>
    </b:Author>
    <b:JournalName>Energy Policy</b:JournalName>
    <b:Pages>68-75</b:Pages>
    <b:Issue>113</b:Issue>
    <b:RefOrder>6</b:RefOrder>
  </b:Source>
  <b:Source>
    <b:Tag>Har14</b:Tag>
    <b:SourceType>JournalArticle</b:SourceType>
    <b:Guid>{AF643409-3582-924E-949A-89CADFD1C083}</b:Guid>
    <b:Author>
      <b:Author>
        <b:NameList>
          <b:Person>
            <b:Last>Hartley</b:Last>
            <b:First>P.</b:First>
            <b:Middle>R.</b:Middle>
          </b:Person>
          <b:Person>
            <b:Last>Medlock</b:Last>
            <b:First>K.</b:First>
            <b:Middle>B.</b:Middle>
          </b:Person>
        </b:NameList>
      </b:Author>
    </b:Author>
    <b:Title>The relationaship between crude oil and natural gas prices: The role of the exchange rate</b:Title>
    <b:JournalName>Energy Journal</b:JournalName>
    <b:Year>2014</b:Year>
    <b:Pages>25-44</b:Pages>
    <b:Issue>35</b:Issue>
    <b:RefOrder>7</b:RefOrder>
  </b:Source>
  <b:Source>
    <b:Tag>Bro08</b:Tag>
    <b:SourceType>JournalArticle</b:SourceType>
    <b:Guid>{CEE18698-D426-F642-A029-8C93361870F5}</b:Guid>
    <b:Author>
      <b:Author>
        <b:NameList>
          <b:Person>
            <b:Last>Brown</b:Last>
            <b:First>S.</b:First>
            <b:Middle>P.</b:Middle>
          </b:Person>
          <b:Person>
            <b:Last>Yücel</b:Last>
            <b:First>M.</b:First>
            <b:Middle>K.</b:Middle>
          </b:Person>
        </b:NameList>
      </b:Author>
    </b:Author>
    <b:Title>What drives natural gas prices?</b:Title>
    <b:JournalName>Energy Journal</b:JournalName>
    <b:Year>2008</b:Year>
    <b:Pages>45-60</b:Pages>
    <b:Issue>29</b:Issue>
    <b:RefOrder>8</b:RefOrder>
  </b:Source>
  <b:Source>
    <b:Tag>Ram12</b:Tag>
    <b:SourceType>JournalArticle</b:SourceType>
    <b:Guid>{E0A9B694-4B8C-6D43-874E-88B6ACD8F0A5}</b:Guid>
    <b:Author>
      <b:Author>
        <b:NameList>
          <b:Person>
            <b:Last>Ramberg</b:Last>
            <b:First>D.</b:First>
            <b:Middle>J.</b:Middle>
          </b:Person>
          <b:Person>
            <b:Last>Parsons</b:Last>
            <b:First>J.</b:First>
            <b:Middle>E.</b:Middle>
          </b:Person>
        </b:NameList>
      </b:Author>
    </b:Author>
    <b:Title>The weak tie between gas and oil prices</b:Title>
    <b:JournalName>The Energy Journal</b:JournalName>
    <b:Year>2012</b:Year>
    <b:Pages>13-35</b:Pages>
    <b:Volume>33</b:Volume>
    <b:Issue>2</b:Issue>
    <b:RefOrder>9</b:RefOrder>
  </b:Source>
  <b:Source>
    <b:Tag>Wan19</b:Tag>
    <b:SourceType>JournalArticle</b:SourceType>
    <b:Guid>{644D4EB5-1347-1349-BC15-E41C070FD3D7}</b:Guid>
    <b:Author>
      <b:Author>
        <b:NameList>
          <b:Person>
            <b:Last>Wang</b:Last>
            <b:First>T.</b:First>
            <b:Middle>T.</b:Middle>
          </b:Person>
          <b:Person>
            <b:Last>Zhang</b:Last>
            <b:First>D.</b:First>
          </b:Person>
          <b:Person>
            <b:Last>Broadstock</b:Last>
            <b:First>D.</b:First>
            <b:Middle>C.</b:Middle>
          </b:Person>
        </b:NameList>
      </b:Author>
    </b:Author>
    <b:Title>Fiancialization, fundamentals, and the time-varying determinants of US natural gas prices</b:Title>
    <b:JournalName>Energy Economics</b:JournalName>
    <b:Year>2019</b:Year>
    <b:Pages>707-719</b:Pages>
    <b:Volume>80</b:Volume>
    <b:RefOrder>10</b:RefOrder>
  </b:Source>
  <b:Source>
    <b:Tag>Bri14</b:Tag>
    <b:SourceType>JournalArticle</b:SourceType>
    <b:Guid>{27D7CF95-75C2-2545-B65F-3FFD52175AC0}</b:Guid>
    <b:Author>
      <b:Author>
        <b:NameList>
          <b:Person>
            <b:Last>Brigida</b:Last>
            <b:First>M.</b:First>
          </b:Person>
        </b:NameList>
      </b:Author>
    </b:Author>
    <b:Title>The switching relationship between natural gas and crude oil prices</b:Title>
    <b:JournalName>Energy Economics</b:JournalName>
    <b:Year>2014</b:Year>
    <b:Pages>48-55</b:Pages>
    <b:Issue>43</b:Issue>
    <b:RefOrder>11</b:RefOrder>
  </b:Source>
  <b:Source>
    <b:Tag>Jad17</b:Tag>
    <b:SourceType>JournalArticle</b:SourceType>
    <b:Guid>{E9D5BF2D-051E-4241-8F5E-0351EBB58EAF}</b:Guid>
    <b:Author>
      <b:Author>
        <b:NameList>
          <b:Person>
            <b:Last>Jadidzadeh</b:Last>
            <b:First>A.</b:First>
          </b:Person>
          <b:Person>
            <b:Last>Serletis</b:Last>
            <b:First>A.</b:First>
          </b:Person>
        </b:NameList>
      </b:Author>
    </b:Author>
    <b:Title>How does the US natural gas market react to demand and supply shocks in the crude oil market?</b:Title>
    <b:JournalName>Energy Economics</b:JournalName>
    <b:Year>2017</b:Year>
    <b:Pages>66-74</b:Pages>
    <b:Issue>63</b:Issue>
    <b:RefOrder>12</b:RefOrder>
  </b:Source>
  <b:Source>
    <b:Tag>Pin04</b:Tag>
    <b:SourceType>JournalArticle</b:SourceType>
    <b:Guid>{A187DE72-98FE-EE4E-8DE5-ED16BB04F343}</b:Guid>
    <b:Author>
      <b:Author>
        <b:NameList>
          <b:Person>
            <b:Last>Pindyck</b:Last>
            <b:First>R.</b:First>
            <b:Middle>S.</b:Middle>
          </b:Person>
        </b:NameList>
      </b:Author>
    </b:Author>
    <b:Title>Volatility in natural gas and oil markets.</b:Title>
    <b:JournalName>The Journal of Energy and Development</b:JournalName>
    <b:Year>2004</b:Year>
    <b:Pages>1-19</b:Pages>
    <b:Volume>30</b:Volume>
    <b:Issue>1</b:Issue>
    <b:RefOrder>13</b:RefOrder>
  </b:Source>
  <b:Source>
    <b:Tag>Hou18</b:Tag>
    <b:SourceType>JournalArticle</b:SourceType>
    <b:Guid>{8DDC6D01-75DC-7B46-A9B1-118F94D63446}</b:Guid>
    <b:Author>
      <b:Author>
        <b:NameList>
          <b:Person>
            <b:Last>Hou</b:Last>
            <b:First>C.</b:First>
          </b:Person>
          <b:Person>
            <b:Last>Nguyen</b:Last>
            <b:First>B.</b:First>
            <b:Middle>H.</b:Middle>
          </b:Person>
        </b:NameList>
      </b:Author>
    </b:Author>
    <b:Title>Understanding the US natural gas market: A Markov switchin VAR approach</b:Title>
    <b:JournalName>CAMA Working Paper 14/2018</b:JournalName>
    <b:Year>2018</b:Year>
    <b:RefOrder>14</b:RefOrder>
  </b:Source>
</b:Sources>
</file>

<file path=customXml/itemProps1.xml><?xml version="1.0" encoding="utf-8"?>
<ds:datastoreItem xmlns:ds="http://schemas.openxmlformats.org/officeDocument/2006/customXml" ds:itemID="{5C212DAE-2118-9E4E-B7C7-CC195F2D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4605</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Nkwantabisa, Dickson</dc:creator>
  <cp:keywords/>
  <dc:description/>
  <cp:lastModifiedBy>Domfeh, Dixon K</cp:lastModifiedBy>
  <cp:revision>5</cp:revision>
  <dcterms:created xsi:type="dcterms:W3CDTF">2019-09-08T22:54:00Z</dcterms:created>
  <dcterms:modified xsi:type="dcterms:W3CDTF">2023-02-18T19:25:00Z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documentId_8829</vt:lpwstr>
  </property>
  <property fmtid="{D5CDD505-2E9C-101B-9397-08002B2CF9AE}" pid="3" name="grammarly_documentContext">
    <vt:lpwstr>{"goals":[],"domain":"general","emotions":[],"dialect":"american"}</vt:lpwstr>
  </property>
</Properties>
</file>