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CA4DB" w14:textId="77777777" w:rsidR="008313DC" w:rsidRPr="008313DC" w:rsidRDefault="008313DC" w:rsidP="008313DC">
      <w:pPr>
        <w:spacing w:line="480" w:lineRule="auto"/>
        <w:rPr>
          <w:rFonts w:cstheme="minorHAnsi"/>
          <w:sz w:val="24"/>
          <w:szCs w:val="24"/>
        </w:rPr>
      </w:pPr>
      <w:r w:rsidRPr="008313DC">
        <w:rPr>
          <w:rFonts w:cstheme="minorHAnsi"/>
          <w:sz w:val="24"/>
          <w:szCs w:val="24"/>
        </w:rPr>
        <w:t>Kwaku A Gyimah</w:t>
      </w:r>
    </w:p>
    <w:p w14:paraId="638DE238" w14:textId="77777777" w:rsidR="008313DC" w:rsidRPr="008313DC" w:rsidRDefault="008313DC" w:rsidP="008313DC">
      <w:pPr>
        <w:spacing w:line="480" w:lineRule="auto"/>
        <w:rPr>
          <w:rFonts w:cstheme="minorHAnsi"/>
          <w:sz w:val="24"/>
          <w:szCs w:val="24"/>
        </w:rPr>
      </w:pPr>
      <w:r w:rsidRPr="008313DC">
        <w:rPr>
          <w:rFonts w:cstheme="minorHAnsi"/>
          <w:sz w:val="24"/>
          <w:szCs w:val="24"/>
        </w:rPr>
        <w:t>Dr T. Guan</w:t>
      </w:r>
    </w:p>
    <w:p w14:paraId="1B2166EA" w14:textId="77777777" w:rsidR="008313DC" w:rsidRPr="008313DC" w:rsidRDefault="008313DC" w:rsidP="008313DC">
      <w:pPr>
        <w:spacing w:line="480" w:lineRule="auto"/>
        <w:rPr>
          <w:rFonts w:cstheme="minorHAnsi"/>
          <w:sz w:val="24"/>
          <w:szCs w:val="24"/>
        </w:rPr>
      </w:pPr>
      <w:r w:rsidRPr="008313DC">
        <w:rPr>
          <w:rFonts w:cstheme="minorHAnsi"/>
          <w:sz w:val="24"/>
          <w:szCs w:val="24"/>
        </w:rPr>
        <w:t xml:space="preserve">Survival Analysis </w:t>
      </w:r>
      <w:proofErr w:type="gramStart"/>
      <w:r w:rsidRPr="008313DC">
        <w:rPr>
          <w:rFonts w:cstheme="minorHAnsi"/>
          <w:sz w:val="24"/>
          <w:szCs w:val="24"/>
        </w:rPr>
        <w:t>In</w:t>
      </w:r>
      <w:proofErr w:type="gramEnd"/>
      <w:r w:rsidRPr="008313DC">
        <w:rPr>
          <w:rFonts w:cstheme="minorHAnsi"/>
          <w:sz w:val="24"/>
          <w:szCs w:val="24"/>
        </w:rPr>
        <w:t xml:space="preserve"> Public Health</w:t>
      </w:r>
    </w:p>
    <w:p w14:paraId="689ACAEF" w14:textId="189D6F5F" w:rsidR="008313DC" w:rsidRDefault="008313DC" w:rsidP="008313DC">
      <w:pPr>
        <w:spacing w:line="480" w:lineRule="auto"/>
        <w:rPr>
          <w:rFonts w:cstheme="minorHAnsi"/>
          <w:sz w:val="24"/>
          <w:szCs w:val="24"/>
        </w:rPr>
      </w:pPr>
      <w:r w:rsidRPr="008313DC">
        <w:rPr>
          <w:rFonts w:cstheme="minorHAnsi"/>
          <w:sz w:val="24"/>
          <w:szCs w:val="24"/>
        </w:rPr>
        <w:t>03/20/2025</w:t>
      </w:r>
    </w:p>
    <w:p w14:paraId="443DF64B" w14:textId="77777777" w:rsidR="0013789B" w:rsidRPr="008313DC" w:rsidRDefault="0013789B" w:rsidP="008313DC">
      <w:pPr>
        <w:spacing w:line="480" w:lineRule="auto"/>
        <w:rPr>
          <w:rFonts w:cstheme="minorHAnsi"/>
          <w:sz w:val="24"/>
          <w:szCs w:val="24"/>
        </w:rPr>
      </w:pPr>
    </w:p>
    <w:p w14:paraId="54671FAB" w14:textId="77777777" w:rsidR="008313DC" w:rsidRPr="008313DC" w:rsidRDefault="008313DC" w:rsidP="008313DC">
      <w:pPr>
        <w:spacing w:line="480" w:lineRule="auto"/>
        <w:rPr>
          <w:rFonts w:cstheme="minorHAnsi"/>
          <w:sz w:val="24"/>
          <w:szCs w:val="24"/>
        </w:rPr>
      </w:pPr>
    </w:p>
    <w:p w14:paraId="558034C6" w14:textId="77777777" w:rsidR="008313DC" w:rsidRPr="008313DC" w:rsidRDefault="008313DC" w:rsidP="008313DC">
      <w:pPr>
        <w:spacing w:line="480" w:lineRule="auto"/>
        <w:rPr>
          <w:rFonts w:cstheme="minorHAnsi"/>
          <w:sz w:val="24"/>
          <w:szCs w:val="24"/>
        </w:rPr>
      </w:pPr>
    </w:p>
    <w:p w14:paraId="5FFDB54B" w14:textId="77777777" w:rsidR="008313DC" w:rsidRDefault="008313DC" w:rsidP="008313DC">
      <w:pPr>
        <w:spacing w:line="480" w:lineRule="auto"/>
        <w:rPr>
          <w:rFonts w:cstheme="minorHAnsi"/>
          <w:sz w:val="24"/>
          <w:szCs w:val="24"/>
        </w:rPr>
      </w:pPr>
    </w:p>
    <w:p w14:paraId="7007C4E2" w14:textId="4FA208AF" w:rsidR="008313DC" w:rsidRPr="008313DC" w:rsidRDefault="008313DC" w:rsidP="008313DC">
      <w:pPr>
        <w:spacing w:line="480" w:lineRule="auto"/>
        <w:rPr>
          <w:rFonts w:cstheme="minorHAnsi"/>
          <w:b/>
          <w:bCs/>
          <w:sz w:val="28"/>
          <w:szCs w:val="28"/>
          <w:u w:val="single"/>
        </w:rPr>
      </w:pPr>
      <w:r>
        <w:rPr>
          <w:rFonts w:cstheme="minorHAnsi"/>
          <w:sz w:val="24"/>
          <w:szCs w:val="24"/>
        </w:rPr>
        <w:t xml:space="preserve">                                  </w:t>
      </w:r>
      <w:r w:rsidRPr="008313DC">
        <w:rPr>
          <w:rFonts w:cstheme="minorHAnsi"/>
          <w:sz w:val="24"/>
          <w:szCs w:val="24"/>
        </w:rPr>
        <w:t xml:space="preserve"> </w:t>
      </w:r>
      <w:r w:rsidRPr="008313DC">
        <w:rPr>
          <w:rFonts w:cstheme="minorHAnsi"/>
          <w:b/>
          <w:bCs/>
          <w:sz w:val="28"/>
          <w:szCs w:val="28"/>
          <w:u w:val="single"/>
        </w:rPr>
        <w:t xml:space="preserve">Survival Analysis of Bladder Cancer Recurrence </w:t>
      </w:r>
    </w:p>
    <w:p w14:paraId="4ECA85F8" w14:textId="77777777" w:rsidR="008313DC" w:rsidRPr="008313DC" w:rsidRDefault="008313DC" w:rsidP="008313DC">
      <w:pPr>
        <w:spacing w:line="480" w:lineRule="auto"/>
        <w:rPr>
          <w:rFonts w:cstheme="minorHAnsi"/>
          <w:sz w:val="24"/>
          <w:szCs w:val="24"/>
        </w:rPr>
      </w:pPr>
    </w:p>
    <w:p w14:paraId="64C68125" w14:textId="77777777" w:rsidR="008313DC" w:rsidRPr="008313DC" w:rsidRDefault="008313DC" w:rsidP="008313DC">
      <w:pPr>
        <w:spacing w:line="480" w:lineRule="auto"/>
        <w:rPr>
          <w:rFonts w:cstheme="minorHAnsi"/>
          <w:sz w:val="24"/>
          <w:szCs w:val="24"/>
        </w:rPr>
      </w:pPr>
    </w:p>
    <w:p w14:paraId="1971E399" w14:textId="77777777" w:rsidR="008313DC" w:rsidRPr="008313DC" w:rsidRDefault="008313DC" w:rsidP="008313DC">
      <w:pPr>
        <w:spacing w:line="480" w:lineRule="auto"/>
        <w:rPr>
          <w:rFonts w:cstheme="minorHAnsi"/>
          <w:sz w:val="24"/>
          <w:szCs w:val="24"/>
        </w:rPr>
      </w:pPr>
    </w:p>
    <w:p w14:paraId="09F87FBA" w14:textId="77777777" w:rsidR="008313DC" w:rsidRPr="008313DC" w:rsidRDefault="008313DC" w:rsidP="008313DC">
      <w:pPr>
        <w:spacing w:line="480" w:lineRule="auto"/>
        <w:rPr>
          <w:rFonts w:cstheme="minorHAnsi"/>
          <w:sz w:val="24"/>
          <w:szCs w:val="24"/>
        </w:rPr>
      </w:pPr>
    </w:p>
    <w:p w14:paraId="094EBE1B" w14:textId="77777777" w:rsidR="008313DC" w:rsidRPr="008313DC" w:rsidRDefault="008313DC" w:rsidP="008313DC">
      <w:pPr>
        <w:spacing w:line="480" w:lineRule="auto"/>
        <w:rPr>
          <w:rFonts w:cstheme="minorHAnsi"/>
          <w:sz w:val="24"/>
          <w:szCs w:val="24"/>
        </w:rPr>
      </w:pPr>
    </w:p>
    <w:p w14:paraId="1DF12698" w14:textId="77777777" w:rsidR="008313DC" w:rsidRPr="008313DC" w:rsidRDefault="008313DC" w:rsidP="008313DC">
      <w:pPr>
        <w:spacing w:line="480" w:lineRule="auto"/>
        <w:rPr>
          <w:rFonts w:cstheme="minorHAnsi"/>
          <w:sz w:val="24"/>
          <w:szCs w:val="24"/>
        </w:rPr>
      </w:pPr>
    </w:p>
    <w:p w14:paraId="21211F9D" w14:textId="77777777" w:rsidR="008313DC" w:rsidRPr="008313DC" w:rsidRDefault="008313DC" w:rsidP="008313DC">
      <w:pPr>
        <w:spacing w:line="480" w:lineRule="auto"/>
        <w:rPr>
          <w:rFonts w:cstheme="minorHAnsi"/>
          <w:sz w:val="24"/>
          <w:szCs w:val="24"/>
        </w:rPr>
      </w:pPr>
    </w:p>
    <w:p w14:paraId="721A019E" w14:textId="77777777" w:rsidR="008313DC" w:rsidRDefault="008313DC" w:rsidP="008313DC">
      <w:pPr>
        <w:spacing w:line="480" w:lineRule="auto"/>
        <w:rPr>
          <w:rFonts w:cstheme="minorHAnsi"/>
          <w:sz w:val="24"/>
          <w:szCs w:val="24"/>
        </w:rPr>
      </w:pPr>
    </w:p>
    <w:p w14:paraId="768480BF" w14:textId="77777777" w:rsidR="00F667CD" w:rsidRDefault="00F667CD" w:rsidP="008313DC">
      <w:pPr>
        <w:spacing w:line="480" w:lineRule="auto"/>
        <w:rPr>
          <w:rFonts w:cstheme="minorHAnsi"/>
          <w:sz w:val="24"/>
          <w:szCs w:val="24"/>
        </w:rPr>
      </w:pPr>
    </w:p>
    <w:p w14:paraId="67BA19F1" w14:textId="05E9D45C" w:rsidR="008313DC" w:rsidRPr="008313DC" w:rsidRDefault="008313DC" w:rsidP="008313DC">
      <w:pPr>
        <w:spacing w:line="480" w:lineRule="auto"/>
        <w:rPr>
          <w:rFonts w:cstheme="minorHAnsi"/>
          <w:b/>
          <w:bCs/>
          <w:sz w:val="28"/>
          <w:szCs w:val="28"/>
        </w:rPr>
      </w:pPr>
      <w:r w:rsidRPr="008313DC">
        <w:rPr>
          <w:rFonts w:cstheme="minorHAnsi"/>
          <w:b/>
          <w:bCs/>
          <w:sz w:val="28"/>
          <w:szCs w:val="28"/>
        </w:rPr>
        <w:t>Introduction</w:t>
      </w:r>
    </w:p>
    <w:p w14:paraId="5D75B0F1" w14:textId="704B7884" w:rsidR="008313DC" w:rsidRDefault="008313DC" w:rsidP="008313DC">
      <w:pPr>
        <w:spacing w:line="480" w:lineRule="auto"/>
        <w:rPr>
          <w:rFonts w:cstheme="minorHAnsi"/>
          <w:sz w:val="24"/>
          <w:szCs w:val="24"/>
        </w:rPr>
      </w:pPr>
      <w:r w:rsidRPr="008313DC">
        <w:rPr>
          <w:rFonts w:cstheme="minorHAnsi"/>
          <w:sz w:val="24"/>
          <w:szCs w:val="24"/>
        </w:rPr>
        <w:t xml:space="preserve">This study explores the research question </w:t>
      </w:r>
      <w:r w:rsidR="00331B65">
        <w:rPr>
          <w:rFonts w:cstheme="minorHAnsi"/>
          <w:sz w:val="24"/>
          <w:szCs w:val="24"/>
        </w:rPr>
        <w:t>“</w:t>
      </w:r>
      <w:r w:rsidRPr="008313DC">
        <w:rPr>
          <w:rFonts w:cstheme="minorHAnsi"/>
          <w:sz w:val="24"/>
          <w:szCs w:val="24"/>
        </w:rPr>
        <w:t xml:space="preserve">Does the type of treatment (thiotepa vs. placebo) affect the time to recurrence in bladder cancer patients, and what role do tumor characteristics (number and size) play in this risk? </w:t>
      </w:r>
      <w:proofErr w:type="gramStart"/>
      <w:r w:rsidR="00331B65">
        <w:rPr>
          <w:rFonts w:cstheme="minorHAnsi"/>
          <w:sz w:val="24"/>
          <w:szCs w:val="24"/>
        </w:rPr>
        <w:t xml:space="preserve">“ </w:t>
      </w:r>
      <w:r w:rsidRPr="008313DC">
        <w:rPr>
          <w:rFonts w:cstheme="minorHAnsi"/>
          <w:sz w:val="24"/>
          <w:szCs w:val="24"/>
        </w:rPr>
        <w:t>This</w:t>
      </w:r>
      <w:proofErr w:type="gramEnd"/>
      <w:r w:rsidRPr="008313DC">
        <w:rPr>
          <w:rFonts w:cstheme="minorHAnsi"/>
          <w:sz w:val="24"/>
          <w:szCs w:val="24"/>
        </w:rPr>
        <w:t xml:space="preserve"> question is important because bladder cancer</w:t>
      </w:r>
      <w:r>
        <w:rPr>
          <w:rFonts w:cstheme="minorHAnsi"/>
          <w:sz w:val="24"/>
          <w:szCs w:val="24"/>
        </w:rPr>
        <w:t xml:space="preserve"> </w:t>
      </w:r>
      <w:r w:rsidRPr="008313DC">
        <w:rPr>
          <w:rFonts w:cstheme="minorHAnsi"/>
          <w:sz w:val="24"/>
          <w:szCs w:val="24"/>
        </w:rPr>
        <w:t>particularly non</w:t>
      </w:r>
      <w:r>
        <w:rPr>
          <w:rFonts w:cstheme="minorHAnsi"/>
          <w:sz w:val="24"/>
          <w:szCs w:val="24"/>
        </w:rPr>
        <w:t xml:space="preserve"> </w:t>
      </w:r>
      <w:r w:rsidRPr="008313DC">
        <w:rPr>
          <w:rFonts w:cstheme="minorHAnsi"/>
          <w:sz w:val="24"/>
          <w:szCs w:val="24"/>
        </w:rPr>
        <w:t>muscle</w:t>
      </w:r>
      <w:r>
        <w:rPr>
          <w:rFonts w:cstheme="minorHAnsi"/>
          <w:sz w:val="24"/>
          <w:szCs w:val="24"/>
        </w:rPr>
        <w:t xml:space="preserve"> </w:t>
      </w:r>
      <w:r w:rsidRPr="008313DC">
        <w:rPr>
          <w:rFonts w:cstheme="minorHAnsi"/>
          <w:sz w:val="24"/>
          <w:szCs w:val="24"/>
        </w:rPr>
        <w:t xml:space="preserve">invasive bladder cancer has one of the highest recurrence rates among all cancers, which significantly affects patient quality of life, treatment costs, and clinical management strategies. The recurrence of bladder cancer places a heavy burden on healthcare systems, patients, and clinicians. As noted by Kaufman et al. (2009) in their paper discussing the economic burden and clinical impact of bladder cancer, bladder cancer remains one of the most expensive cancers to manage across a patient's lifetime due to frequent recurrences and the need for long-term </w:t>
      </w:r>
      <w:r>
        <w:rPr>
          <w:rFonts w:cstheme="minorHAnsi"/>
          <w:sz w:val="24"/>
          <w:szCs w:val="24"/>
        </w:rPr>
        <w:t>care</w:t>
      </w:r>
      <w:r w:rsidRPr="008313DC">
        <w:rPr>
          <w:rFonts w:cstheme="minorHAnsi"/>
          <w:sz w:val="24"/>
          <w:szCs w:val="24"/>
        </w:rPr>
        <w:t>.</w:t>
      </w:r>
    </w:p>
    <w:p w14:paraId="5C5612CD" w14:textId="77777777" w:rsidR="008313DC" w:rsidRPr="008313DC" w:rsidRDefault="008313DC" w:rsidP="008313DC">
      <w:pPr>
        <w:spacing w:line="480" w:lineRule="auto"/>
        <w:rPr>
          <w:rFonts w:cstheme="minorHAnsi"/>
          <w:sz w:val="24"/>
          <w:szCs w:val="24"/>
        </w:rPr>
      </w:pPr>
    </w:p>
    <w:p w14:paraId="0711F3FB" w14:textId="77777777" w:rsidR="008313DC" w:rsidRPr="008313DC" w:rsidRDefault="008313DC" w:rsidP="008313DC">
      <w:pPr>
        <w:spacing w:line="480" w:lineRule="auto"/>
        <w:rPr>
          <w:rFonts w:cstheme="minorHAnsi"/>
          <w:b/>
          <w:bCs/>
          <w:sz w:val="28"/>
          <w:szCs w:val="28"/>
        </w:rPr>
      </w:pPr>
      <w:r w:rsidRPr="008313DC">
        <w:rPr>
          <w:rFonts w:cstheme="minorHAnsi"/>
          <w:b/>
          <w:bCs/>
          <w:sz w:val="28"/>
          <w:szCs w:val="28"/>
        </w:rPr>
        <w:t>Background</w:t>
      </w:r>
    </w:p>
    <w:p w14:paraId="56C9A346" w14:textId="0D1B136E" w:rsidR="008313DC" w:rsidRPr="008313DC" w:rsidRDefault="008313DC" w:rsidP="008313DC">
      <w:pPr>
        <w:spacing w:line="480" w:lineRule="auto"/>
        <w:rPr>
          <w:rFonts w:cstheme="minorHAnsi"/>
          <w:sz w:val="24"/>
          <w:szCs w:val="24"/>
        </w:rPr>
      </w:pPr>
      <w:r w:rsidRPr="008313DC">
        <w:rPr>
          <w:rFonts w:cstheme="minorHAnsi"/>
          <w:sz w:val="24"/>
          <w:szCs w:val="24"/>
        </w:rPr>
        <w:t xml:space="preserve">Bladder cancer is a common malignancy worldwide. According to Kamat et al. (2016) in their paper on the global burden and clinical behavior of bladder cancer, published in The Lancet, while </w:t>
      </w:r>
      <w:r w:rsidR="004E2A2C" w:rsidRPr="008313DC">
        <w:rPr>
          <w:rFonts w:cstheme="minorHAnsi"/>
          <w:sz w:val="24"/>
          <w:szCs w:val="24"/>
        </w:rPr>
        <w:t>non</w:t>
      </w:r>
      <w:r w:rsidR="004E2A2C">
        <w:rPr>
          <w:rFonts w:cstheme="minorHAnsi"/>
          <w:sz w:val="24"/>
          <w:szCs w:val="24"/>
        </w:rPr>
        <w:t xml:space="preserve"> </w:t>
      </w:r>
      <w:r w:rsidR="004E2A2C" w:rsidRPr="008313DC">
        <w:rPr>
          <w:rFonts w:cstheme="minorHAnsi"/>
          <w:sz w:val="24"/>
          <w:szCs w:val="24"/>
        </w:rPr>
        <w:t>muscle</w:t>
      </w:r>
      <w:r w:rsidR="004E2A2C">
        <w:rPr>
          <w:rFonts w:cstheme="minorHAnsi"/>
          <w:sz w:val="24"/>
          <w:szCs w:val="24"/>
        </w:rPr>
        <w:t xml:space="preserve"> </w:t>
      </w:r>
      <w:r w:rsidR="004E2A2C" w:rsidRPr="008313DC">
        <w:rPr>
          <w:rFonts w:cstheme="minorHAnsi"/>
          <w:sz w:val="24"/>
          <w:szCs w:val="24"/>
        </w:rPr>
        <w:t>invasive bladder cancer</w:t>
      </w:r>
      <w:r w:rsidRPr="008313DC">
        <w:rPr>
          <w:rFonts w:cstheme="minorHAnsi"/>
          <w:sz w:val="24"/>
          <w:szCs w:val="24"/>
        </w:rPr>
        <w:t xml:space="preserve"> has a favorable prognosis compared to </w:t>
      </w:r>
      <w:r w:rsidR="004E2A2C" w:rsidRPr="008313DC">
        <w:rPr>
          <w:rFonts w:cstheme="minorHAnsi"/>
          <w:sz w:val="24"/>
          <w:szCs w:val="24"/>
        </w:rPr>
        <w:t>muscle</w:t>
      </w:r>
      <w:r w:rsidR="004E2A2C">
        <w:rPr>
          <w:rFonts w:cstheme="minorHAnsi"/>
          <w:sz w:val="24"/>
          <w:szCs w:val="24"/>
        </w:rPr>
        <w:t xml:space="preserve"> </w:t>
      </w:r>
      <w:r w:rsidR="004E2A2C" w:rsidRPr="008313DC">
        <w:rPr>
          <w:rFonts w:cstheme="minorHAnsi"/>
          <w:sz w:val="24"/>
          <w:szCs w:val="24"/>
        </w:rPr>
        <w:t>invasive bladder cancer</w:t>
      </w:r>
      <w:r w:rsidRPr="008313DC">
        <w:rPr>
          <w:rFonts w:cstheme="minorHAnsi"/>
          <w:sz w:val="24"/>
          <w:szCs w:val="24"/>
        </w:rPr>
        <w:t>, it is notorious for its high recurrence rate</w:t>
      </w:r>
      <w:r w:rsidR="004E2A2C">
        <w:rPr>
          <w:rFonts w:cstheme="minorHAnsi"/>
          <w:sz w:val="24"/>
          <w:szCs w:val="24"/>
        </w:rPr>
        <w:t xml:space="preserve"> which is </w:t>
      </w:r>
      <w:r w:rsidRPr="008313DC">
        <w:rPr>
          <w:rFonts w:cstheme="minorHAnsi"/>
          <w:sz w:val="24"/>
          <w:szCs w:val="24"/>
        </w:rPr>
        <w:t>estimated at 70% to 80%</w:t>
      </w:r>
      <w:r w:rsidR="004E2A2C">
        <w:rPr>
          <w:rFonts w:cstheme="minorHAnsi"/>
          <w:sz w:val="24"/>
          <w:szCs w:val="24"/>
        </w:rPr>
        <w:t xml:space="preserve"> </w:t>
      </w:r>
      <w:r w:rsidRPr="008313DC">
        <w:rPr>
          <w:rFonts w:cstheme="minorHAnsi"/>
          <w:sz w:val="24"/>
          <w:szCs w:val="24"/>
        </w:rPr>
        <w:t xml:space="preserve">even after surgical resection and adjuvant therapies. </w:t>
      </w:r>
      <w:r w:rsidR="004E2A2C">
        <w:rPr>
          <w:rFonts w:cstheme="minorHAnsi"/>
          <w:sz w:val="24"/>
          <w:szCs w:val="24"/>
        </w:rPr>
        <w:t>Also, p</w:t>
      </w:r>
      <w:r w:rsidRPr="008313DC">
        <w:rPr>
          <w:rFonts w:cstheme="minorHAnsi"/>
          <w:sz w:val="24"/>
          <w:szCs w:val="24"/>
        </w:rPr>
        <w:t xml:space="preserve">rior studies, including those by Sylvester et al. (2006) in their paper that developed predictive risk tables for bladder cancer </w:t>
      </w:r>
      <w:r w:rsidRPr="008313DC">
        <w:rPr>
          <w:rFonts w:cstheme="minorHAnsi"/>
          <w:sz w:val="24"/>
          <w:szCs w:val="24"/>
        </w:rPr>
        <w:lastRenderedPageBreak/>
        <w:t>recurrence and progression</w:t>
      </w:r>
      <w:r w:rsidR="00F667CD">
        <w:rPr>
          <w:rFonts w:cstheme="minorHAnsi"/>
          <w:sz w:val="24"/>
          <w:szCs w:val="24"/>
        </w:rPr>
        <w:t xml:space="preserve"> published </w:t>
      </w:r>
      <w:r w:rsidRPr="008313DC">
        <w:rPr>
          <w:rFonts w:cstheme="minorHAnsi"/>
          <w:sz w:val="24"/>
          <w:szCs w:val="24"/>
        </w:rPr>
        <w:t>in</w:t>
      </w:r>
      <w:r w:rsidR="00F667CD">
        <w:rPr>
          <w:rFonts w:cstheme="minorHAnsi"/>
          <w:sz w:val="24"/>
          <w:szCs w:val="24"/>
        </w:rPr>
        <w:t xml:space="preserve"> the</w:t>
      </w:r>
      <w:r w:rsidRPr="008313DC">
        <w:rPr>
          <w:rFonts w:cstheme="minorHAnsi"/>
          <w:sz w:val="24"/>
          <w:szCs w:val="24"/>
        </w:rPr>
        <w:t xml:space="preserve"> European Urology, have shown that intravesical chemotherapy such as thiotepa is effective in reducing recurrence in </w:t>
      </w:r>
      <w:r w:rsidR="00F667CD" w:rsidRPr="008313DC">
        <w:rPr>
          <w:rFonts w:cstheme="minorHAnsi"/>
          <w:sz w:val="24"/>
          <w:szCs w:val="24"/>
        </w:rPr>
        <w:t>non</w:t>
      </w:r>
      <w:r w:rsidR="00F667CD">
        <w:rPr>
          <w:rFonts w:cstheme="minorHAnsi"/>
          <w:sz w:val="24"/>
          <w:szCs w:val="24"/>
        </w:rPr>
        <w:t>-</w:t>
      </w:r>
      <w:r w:rsidR="00F667CD" w:rsidRPr="008313DC">
        <w:rPr>
          <w:rFonts w:cstheme="minorHAnsi"/>
          <w:sz w:val="24"/>
          <w:szCs w:val="24"/>
        </w:rPr>
        <w:t>muscle</w:t>
      </w:r>
      <w:r w:rsidR="00F667CD">
        <w:rPr>
          <w:rFonts w:cstheme="minorHAnsi"/>
          <w:sz w:val="24"/>
          <w:szCs w:val="24"/>
        </w:rPr>
        <w:t xml:space="preserve"> </w:t>
      </w:r>
      <w:r w:rsidR="00F667CD" w:rsidRPr="008313DC">
        <w:rPr>
          <w:rFonts w:cstheme="minorHAnsi"/>
          <w:sz w:val="24"/>
          <w:szCs w:val="24"/>
        </w:rPr>
        <w:t>invasive bladder cancer</w:t>
      </w:r>
      <w:r w:rsidRPr="008313DC">
        <w:rPr>
          <w:rFonts w:cstheme="minorHAnsi"/>
          <w:sz w:val="24"/>
          <w:szCs w:val="24"/>
        </w:rPr>
        <w:t xml:space="preserve"> patients. Additionally, according to </w:t>
      </w:r>
      <w:proofErr w:type="spellStart"/>
      <w:r w:rsidRPr="008313DC">
        <w:rPr>
          <w:rFonts w:cstheme="minorHAnsi"/>
          <w:sz w:val="24"/>
          <w:szCs w:val="24"/>
        </w:rPr>
        <w:t>Babjuk</w:t>
      </w:r>
      <w:proofErr w:type="spellEnd"/>
      <w:r w:rsidRPr="008313DC">
        <w:rPr>
          <w:rFonts w:cstheme="minorHAnsi"/>
          <w:sz w:val="24"/>
          <w:szCs w:val="24"/>
        </w:rPr>
        <w:t xml:space="preserve"> et al. (2022) in the European Association of Urology (EAU) guidelines on non-muscle-invasive bladder cancer, tumor burden is highlighted as a key prognostic factor, supporting the significant association found between tumor number and recurrence. Other researchers have explored a range of prognostic indicators, including tumor grade, presence of carcinoma in situ (CIS), and patient demographics. For example, Cambier et al. (2016), in their paper on EORTC nomograms and risk groups, emphasized that multiple and large tumors, along with prior recurrences, significantly increase the likelihood of future recurrence. Furthermore, Herr (2001) suggested that early identification of high-risk individuals could help tailor more aggressive or prolonged treatment strategies.</w:t>
      </w:r>
    </w:p>
    <w:p w14:paraId="10898C06" w14:textId="7176A91A" w:rsidR="008313DC" w:rsidRPr="008313DC" w:rsidRDefault="008313DC" w:rsidP="008313DC">
      <w:pPr>
        <w:spacing w:line="480" w:lineRule="auto"/>
        <w:rPr>
          <w:rFonts w:cstheme="minorHAnsi"/>
          <w:sz w:val="24"/>
          <w:szCs w:val="24"/>
        </w:rPr>
      </w:pPr>
      <w:r w:rsidRPr="008313DC">
        <w:rPr>
          <w:rFonts w:cstheme="minorHAnsi"/>
          <w:sz w:val="24"/>
          <w:szCs w:val="24"/>
        </w:rPr>
        <w:t xml:space="preserve">This study is also significant in advancing the understanding of recurrence risk in </w:t>
      </w:r>
      <w:r w:rsidR="00F667CD" w:rsidRPr="008313DC">
        <w:rPr>
          <w:rFonts w:cstheme="minorHAnsi"/>
          <w:sz w:val="24"/>
          <w:szCs w:val="24"/>
        </w:rPr>
        <w:t>non</w:t>
      </w:r>
      <w:r w:rsidR="00F667CD">
        <w:rPr>
          <w:rFonts w:cstheme="minorHAnsi"/>
          <w:sz w:val="24"/>
          <w:szCs w:val="24"/>
        </w:rPr>
        <w:t>-</w:t>
      </w:r>
      <w:r w:rsidR="00F667CD" w:rsidRPr="008313DC">
        <w:rPr>
          <w:rFonts w:cstheme="minorHAnsi"/>
          <w:sz w:val="24"/>
          <w:szCs w:val="24"/>
        </w:rPr>
        <w:t>muscle</w:t>
      </w:r>
      <w:r w:rsidR="00F667CD">
        <w:rPr>
          <w:rFonts w:cstheme="minorHAnsi"/>
          <w:sz w:val="24"/>
          <w:szCs w:val="24"/>
        </w:rPr>
        <w:t xml:space="preserve"> </w:t>
      </w:r>
      <w:r w:rsidR="00F667CD" w:rsidRPr="008313DC">
        <w:rPr>
          <w:rFonts w:cstheme="minorHAnsi"/>
          <w:sz w:val="24"/>
          <w:szCs w:val="24"/>
        </w:rPr>
        <w:t>invasive bladder cancer</w:t>
      </w:r>
      <w:r w:rsidRPr="008313DC">
        <w:rPr>
          <w:rFonts w:cstheme="minorHAnsi"/>
          <w:sz w:val="24"/>
          <w:szCs w:val="24"/>
        </w:rPr>
        <w:t xml:space="preserve"> patients through the application of survival analysis techniques. The use of survival analysis enables not only the estimation of recurrence probabilities but also the assessment of the impact of individual</w:t>
      </w:r>
      <w:r w:rsidR="00F667CD">
        <w:rPr>
          <w:rFonts w:cstheme="minorHAnsi"/>
          <w:sz w:val="24"/>
          <w:szCs w:val="24"/>
        </w:rPr>
        <w:t xml:space="preserve"> </w:t>
      </w:r>
      <w:r w:rsidRPr="008313DC">
        <w:rPr>
          <w:rFonts w:cstheme="minorHAnsi"/>
          <w:sz w:val="24"/>
          <w:szCs w:val="24"/>
        </w:rPr>
        <w:t>level predictors such as treatment type, number of tumors, and tumor size. Furthermore, by comparing Cox proportional hazards and parametric survival models, the study contributes to methodological literature on the optimal modeling approaches for recurrent event data. The insights</w:t>
      </w:r>
      <w:r w:rsidR="00F667CD">
        <w:rPr>
          <w:rFonts w:cstheme="minorHAnsi"/>
          <w:sz w:val="24"/>
          <w:szCs w:val="24"/>
        </w:rPr>
        <w:t xml:space="preserve"> gained</w:t>
      </w:r>
      <w:r w:rsidRPr="008313DC">
        <w:rPr>
          <w:rFonts w:cstheme="minorHAnsi"/>
          <w:sz w:val="24"/>
          <w:szCs w:val="24"/>
        </w:rPr>
        <w:t xml:space="preserve"> from this study can help inform clinical decision-making by identifying high-risk individuals who may benefit from intensified surveillance or adjuvant therapy, as previously suggested by Sylvester et al. (2006) and Cambier </w:t>
      </w:r>
      <w:r w:rsidRPr="008313DC">
        <w:rPr>
          <w:rFonts w:cstheme="minorHAnsi"/>
          <w:sz w:val="24"/>
          <w:szCs w:val="24"/>
        </w:rPr>
        <w:lastRenderedPageBreak/>
        <w:t>et al. (2016). Ultimately, this study bridges the gap between clinical evidence and statistical modeling for improved patient care in bladder cancer management.</w:t>
      </w:r>
    </w:p>
    <w:p w14:paraId="09BD6CAE" w14:textId="544C097C" w:rsidR="00F667CD" w:rsidRPr="008313DC" w:rsidRDefault="008313DC" w:rsidP="008313DC">
      <w:pPr>
        <w:spacing w:line="480" w:lineRule="auto"/>
        <w:rPr>
          <w:rFonts w:cstheme="minorHAnsi"/>
          <w:b/>
          <w:bCs/>
          <w:sz w:val="28"/>
          <w:szCs w:val="28"/>
        </w:rPr>
      </w:pPr>
      <w:r w:rsidRPr="008313DC">
        <w:rPr>
          <w:rFonts w:cstheme="minorHAnsi"/>
          <w:b/>
          <w:bCs/>
          <w:sz w:val="28"/>
          <w:szCs w:val="28"/>
        </w:rPr>
        <w:t>Methods</w:t>
      </w:r>
    </w:p>
    <w:p w14:paraId="7218C954" w14:textId="3D72556B" w:rsidR="008313DC" w:rsidRPr="008313DC" w:rsidRDefault="008313DC" w:rsidP="008313DC">
      <w:pPr>
        <w:spacing w:line="480" w:lineRule="auto"/>
        <w:rPr>
          <w:rFonts w:cstheme="minorHAnsi"/>
          <w:sz w:val="24"/>
          <w:szCs w:val="24"/>
        </w:rPr>
      </w:pPr>
      <w:r w:rsidRPr="008313DC">
        <w:rPr>
          <w:rFonts w:cstheme="minorHAnsi"/>
          <w:sz w:val="24"/>
          <w:szCs w:val="24"/>
        </w:rPr>
        <w:t>This study used the bladder dataset from the survival package in R. The dataset consists of 340 observations from 85 patients, with each patient followed for up to four recurrent events or censoring. The study population included patients diagnosed with bladder cancer and assigned to either thiotepa or placebo treatment arms. The variables measured included patient ID (ID), treatment group (</w:t>
      </w:r>
      <w:proofErr w:type="spellStart"/>
      <w:r w:rsidRPr="008313DC">
        <w:rPr>
          <w:rFonts w:cstheme="minorHAnsi"/>
          <w:sz w:val="24"/>
          <w:szCs w:val="24"/>
        </w:rPr>
        <w:t>rx</w:t>
      </w:r>
      <w:proofErr w:type="spellEnd"/>
      <w:r w:rsidRPr="008313DC">
        <w:rPr>
          <w:rFonts w:cstheme="minorHAnsi"/>
          <w:sz w:val="24"/>
          <w:szCs w:val="24"/>
        </w:rPr>
        <w:t>: 1=Placebo, 2=Thiotepa), initial number of tumors (number, categorical from 1 to 8), size of the largest tumor in centimeters (size, used as a continuous variable), time to recurrence or censoring (stop), indicator for recurrence (event: 1=event, 0=censored), and recurrence sequence number (</w:t>
      </w:r>
      <w:proofErr w:type="spellStart"/>
      <w:r w:rsidRPr="008313DC">
        <w:rPr>
          <w:rFonts w:cstheme="minorHAnsi"/>
          <w:sz w:val="24"/>
          <w:szCs w:val="24"/>
        </w:rPr>
        <w:t>enum</w:t>
      </w:r>
      <w:proofErr w:type="spellEnd"/>
      <w:r w:rsidRPr="008313DC">
        <w:rPr>
          <w:rFonts w:cstheme="minorHAnsi"/>
          <w:sz w:val="24"/>
          <w:szCs w:val="24"/>
        </w:rPr>
        <w:t>). No continuous variable was categorized in this study, as the variable 'size' had a manageable range for modeling purposes.</w:t>
      </w:r>
    </w:p>
    <w:p w14:paraId="3BF084DE" w14:textId="77777777" w:rsidR="008313DC" w:rsidRDefault="008313DC" w:rsidP="008313DC">
      <w:pPr>
        <w:spacing w:line="480" w:lineRule="auto"/>
        <w:rPr>
          <w:rFonts w:cstheme="minorHAnsi"/>
          <w:sz w:val="24"/>
          <w:szCs w:val="24"/>
        </w:rPr>
      </w:pPr>
      <w:r w:rsidRPr="008313DC">
        <w:rPr>
          <w:rFonts w:cstheme="minorHAnsi"/>
          <w:sz w:val="24"/>
          <w:szCs w:val="24"/>
        </w:rPr>
        <w:t>The statistical analyses conducted included descriptive statistics to summarize baseline characteristics, Kaplan-Meier (KM) curves to estimate survival probabilities over time, log-rank tests to compare KM curves between treatment groups, Cox proportional hazards models to assess the association between treatment and time to recurrence while adjusting for covariates, and parametric survival models (Weibull and Lognormal) to assess model fit and improve survival projection. All analyses were conducted using R version 4.3.1.</w:t>
      </w:r>
    </w:p>
    <w:p w14:paraId="02F25CFB" w14:textId="77777777" w:rsidR="001F6910" w:rsidRDefault="001F6910" w:rsidP="008313DC">
      <w:pPr>
        <w:spacing w:line="480" w:lineRule="auto"/>
        <w:rPr>
          <w:rFonts w:cstheme="minorHAnsi"/>
          <w:sz w:val="24"/>
          <w:szCs w:val="24"/>
        </w:rPr>
      </w:pPr>
    </w:p>
    <w:p w14:paraId="588E9988" w14:textId="77777777" w:rsidR="001F6910" w:rsidRPr="008313DC" w:rsidRDefault="001F6910" w:rsidP="008313DC">
      <w:pPr>
        <w:spacing w:line="480" w:lineRule="auto"/>
        <w:rPr>
          <w:rFonts w:cstheme="minorHAnsi"/>
          <w:sz w:val="24"/>
          <w:szCs w:val="24"/>
        </w:rPr>
      </w:pPr>
    </w:p>
    <w:p w14:paraId="1525FB1D" w14:textId="77777777" w:rsidR="008313DC" w:rsidRPr="008313DC" w:rsidRDefault="008313DC" w:rsidP="008313DC">
      <w:pPr>
        <w:spacing w:line="480" w:lineRule="auto"/>
        <w:rPr>
          <w:rFonts w:cstheme="minorHAnsi"/>
          <w:b/>
          <w:bCs/>
          <w:sz w:val="28"/>
          <w:szCs w:val="28"/>
        </w:rPr>
      </w:pPr>
      <w:r w:rsidRPr="008313DC">
        <w:rPr>
          <w:rFonts w:cstheme="minorHAnsi"/>
          <w:b/>
          <w:bCs/>
          <w:sz w:val="28"/>
          <w:szCs w:val="28"/>
        </w:rPr>
        <w:lastRenderedPageBreak/>
        <w:t>Results</w:t>
      </w:r>
    </w:p>
    <w:p w14:paraId="6D1F3F6E" w14:textId="285F6F29" w:rsidR="008313DC" w:rsidRDefault="008313DC" w:rsidP="008313DC">
      <w:pPr>
        <w:spacing w:line="480" w:lineRule="auto"/>
        <w:rPr>
          <w:rFonts w:cstheme="minorHAnsi"/>
          <w:sz w:val="24"/>
          <w:szCs w:val="24"/>
        </w:rPr>
      </w:pPr>
      <w:r w:rsidRPr="008313DC">
        <w:rPr>
          <w:rFonts w:cstheme="minorHAnsi"/>
          <w:sz w:val="24"/>
          <w:szCs w:val="24"/>
        </w:rPr>
        <w:t xml:space="preserve">In the descriptive analysis, the placebo group included 188 observations and the thiotepa group included 152 observations. There </w:t>
      </w:r>
      <w:r w:rsidR="0013789B" w:rsidRPr="008313DC">
        <w:rPr>
          <w:rFonts w:cstheme="minorHAnsi"/>
          <w:sz w:val="24"/>
          <w:szCs w:val="24"/>
        </w:rPr>
        <w:t>was</w:t>
      </w:r>
      <w:r w:rsidRPr="008313DC">
        <w:rPr>
          <w:rFonts w:cstheme="minorHAnsi"/>
          <w:sz w:val="24"/>
          <w:szCs w:val="24"/>
        </w:rPr>
        <w:t xml:space="preserve"> a total of 112 recurrence events, representing 32.9% of all observations. The median number of tumors was 1, with a range from 1 to 8, and the median tumor size was 1 cm, ranging from 1 to 7 cm.</w:t>
      </w:r>
    </w:p>
    <w:p w14:paraId="6225AE2E" w14:textId="77777777" w:rsidR="0013789B" w:rsidRDefault="0013789B" w:rsidP="008313DC">
      <w:pPr>
        <w:spacing w:line="480" w:lineRule="auto"/>
        <w:rPr>
          <w:rFonts w:cstheme="minorHAnsi"/>
          <w:sz w:val="24"/>
          <w:szCs w:val="24"/>
        </w:rPr>
      </w:pPr>
    </w:p>
    <w:p w14:paraId="179B1CB3" w14:textId="1A7D0298" w:rsidR="0013789B" w:rsidRPr="008313DC" w:rsidRDefault="0013789B" w:rsidP="008313DC">
      <w:pPr>
        <w:spacing w:line="480" w:lineRule="auto"/>
        <w:rPr>
          <w:rFonts w:cstheme="minorHAnsi"/>
          <w:b/>
          <w:bCs/>
          <w:sz w:val="24"/>
          <w:szCs w:val="24"/>
        </w:rPr>
      </w:pPr>
      <w:r>
        <w:rPr>
          <w:rFonts w:cstheme="minorHAnsi"/>
          <w:b/>
          <w:bCs/>
          <w:sz w:val="24"/>
          <w:szCs w:val="24"/>
        </w:rPr>
        <w:t xml:space="preserve">                        </w:t>
      </w:r>
      <w:r w:rsidR="001F6910">
        <w:rPr>
          <w:rFonts w:cstheme="minorHAnsi"/>
          <w:b/>
          <w:bCs/>
          <w:sz w:val="24"/>
          <w:szCs w:val="24"/>
        </w:rPr>
        <w:t xml:space="preserve">       </w:t>
      </w:r>
      <w:r>
        <w:rPr>
          <w:rFonts w:cstheme="minorHAnsi"/>
          <w:b/>
          <w:bCs/>
          <w:sz w:val="24"/>
          <w:szCs w:val="24"/>
        </w:rPr>
        <w:t xml:space="preserve"> </w:t>
      </w:r>
      <w:r w:rsidR="001F6910">
        <w:rPr>
          <w:rFonts w:cstheme="minorHAnsi"/>
          <w:b/>
          <w:bCs/>
          <w:sz w:val="24"/>
          <w:szCs w:val="24"/>
        </w:rPr>
        <w:t xml:space="preserve"> </w:t>
      </w:r>
      <w:r w:rsidRPr="0013789B">
        <w:rPr>
          <w:rFonts w:cstheme="minorHAnsi"/>
          <w:b/>
          <w:bCs/>
          <w:sz w:val="24"/>
          <w:szCs w:val="24"/>
        </w:rPr>
        <w:t>Summary of Treatment Groups and Tumor Characteristics</w:t>
      </w:r>
    </w:p>
    <w:tbl>
      <w:tblPr>
        <w:tblStyle w:val="PlainTable1"/>
        <w:tblW w:w="9586" w:type="dxa"/>
        <w:tblLook w:val="04A0" w:firstRow="1" w:lastRow="0" w:firstColumn="1" w:lastColumn="0" w:noHBand="0" w:noVBand="1"/>
      </w:tblPr>
      <w:tblGrid>
        <w:gridCol w:w="1992"/>
        <w:gridCol w:w="1955"/>
        <w:gridCol w:w="1832"/>
        <w:gridCol w:w="2190"/>
        <w:gridCol w:w="1617"/>
      </w:tblGrid>
      <w:tr w:rsidR="0013789B" w:rsidRPr="008313DC" w14:paraId="24CA5C06" w14:textId="77777777" w:rsidTr="00FF1EFE">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hideMark/>
          </w:tcPr>
          <w:p w14:paraId="62D14C21" w14:textId="77777777" w:rsidR="008313DC" w:rsidRPr="008313DC" w:rsidRDefault="008313DC" w:rsidP="008313DC">
            <w:pPr>
              <w:spacing w:after="160" w:line="480" w:lineRule="auto"/>
              <w:rPr>
                <w:rFonts w:cstheme="minorHAnsi"/>
                <w:sz w:val="24"/>
                <w:szCs w:val="24"/>
              </w:rPr>
            </w:pPr>
            <w:r w:rsidRPr="008313DC">
              <w:rPr>
                <w:rFonts w:cstheme="minorHAnsi"/>
                <w:sz w:val="24"/>
                <w:szCs w:val="24"/>
              </w:rPr>
              <w:t>Treatment Group</w:t>
            </w:r>
          </w:p>
        </w:tc>
        <w:tc>
          <w:tcPr>
            <w:tcW w:w="0" w:type="auto"/>
            <w:hideMark/>
          </w:tcPr>
          <w:p w14:paraId="126280DB" w14:textId="7E233EDA" w:rsidR="008313DC" w:rsidRPr="008313DC" w:rsidRDefault="008313DC" w:rsidP="008313DC">
            <w:pPr>
              <w:spacing w:after="160"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313DC">
              <w:rPr>
                <w:rFonts w:cstheme="minorHAnsi"/>
                <w:sz w:val="24"/>
                <w:szCs w:val="24"/>
              </w:rPr>
              <w:t>N</w:t>
            </w:r>
            <w:r w:rsidR="001F6910">
              <w:rPr>
                <w:rFonts w:cstheme="minorHAnsi"/>
                <w:sz w:val="24"/>
                <w:szCs w:val="24"/>
              </w:rPr>
              <w:t xml:space="preserve"> </w:t>
            </w:r>
            <w:r w:rsidR="0013789B" w:rsidRPr="00FF1EFE">
              <w:rPr>
                <w:rFonts w:cstheme="minorHAnsi"/>
                <w:sz w:val="24"/>
                <w:szCs w:val="24"/>
              </w:rPr>
              <w:t>(</w:t>
            </w:r>
            <w:r w:rsidR="001F6910" w:rsidRPr="00FF1EFE">
              <w:rPr>
                <w:rFonts w:cstheme="minorHAnsi"/>
                <w:sz w:val="24"/>
                <w:szCs w:val="24"/>
              </w:rPr>
              <w:t>Observations)</w:t>
            </w:r>
            <w:r w:rsidR="0013789B" w:rsidRPr="00FF1EFE">
              <w:rPr>
                <w:rFonts w:cstheme="minorHAnsi"/>
                <w:sz w:val="24"/>
                <w:szCs w:val="24"/>
              </w:rPr>
              <w:t xml:space="preserve"> </w:t>
            </w:r>
          </w:p>
        </w:tc>
        <w:tc>
          <w:tcPr>
            <w:tcW w:w="0" w:type="auto"/>
            <w:hideMark/>
          </w:tcPr>
          <w:p w14:paraId="67F6167E" w14:textId="2555E6DB" w:rsidR="008313DC" w:rsidRPr="008313DC" w:rsidRDefault="008313DC" w:rsidP="008313DC">
            <w:pPr>
              <w:spacing w:after="160"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313DC">
              <w:rPr>
                <w:rFonts w:cstheme="minorHAnsi"/>
                <w:sz w:val="24"/>
                <w:szCs w:val="24"/>
              </w:rPr>
              <w:t>Median Tumors</w:t>
            </w:r>
          </w:p>
        </w:tc>
        <w:tc>
          <w:tcPr>
            <w:tcW w:w="0" w:type="auto"/>
            <w:hideMark/>
          </w:tcPr>
          <w:p w14:paraId="66C9BDCE" w14:textId="77777777" w:rsidR="008313DC" w:rsidRPr="008313DC" w:rsidRDefault="008313DC" w:rsidP="008313DC">
            <w:pPr>
              <w:spacing w:after="160"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313DC">
              <w:rPr>
                <w:rFonts w:cstheme="minorHAnsi"/>
                <w:sz w:val="24"/>
                <w:szCs w:val="24"/>
              </w:rPr>
              <w:t>Median Tumor Size</w:t>
            </w:r>
          </w:p>
        </w:tc>
        <w:tc>
          <w:tcPr>
            <w:tcW w:w="0" w:type="auto"/>
            <w:hideMark/>
          </w:tcPr>
          <w:p w14:paraId="64838676" w14:textId="77777777" w:rsidR="008313DC" w:rsidRPr="008313DC" w:rsidRDefault="008313DC" w:rsidP="008313DC">
            <w:pPr>
              <w:spacing w:after="160"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313DC">
              <w:rPr>
                <w:rFonts w:cstheme="minorHAnsi"/>
                <w:sz w:val="24"/>
                <w:szCs w:val="24"/>
              </w:rPr>
              <w:t>% Recurrence</w:t>
            </w:r>
          </w:p>
        </w:tc>
      </w:tr>
      <w:tr w:rsidR="00FF1EFE" w:rsidRPr="008313DC" w14:paraId="64DD3946" w14:textId="77777777" w:rsidTr="00FF1EF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0" w:type="auto"/>
            <w:hideMark/>
          </w:tcPr>
          <w:p w14:paraId="02390F07" w14:textId="77777777" w:rsidR="008313DC" w:rsidRPr="008313DC" w:rsidRDefault="008313DC" w:rsidP="008313DC">
            <w:pPr>
              <w:spacing w:after="160" w:line="480" w:lineRule="auto"/>
              <w:rPr>
                <w:rFonts w:cstheme="minorHAnsi"/>
                <w:sz w:val="24"/>
                <w:szCs w:val="24"/>
              </w:rPr>
            </w:pPr>
            <w:r w:rsidRPr="008313DC">
              <w:rPr>
                <w:rFonts w:cstheme="minorHAnsi"/>
                <w:sz w:val="24"/>
                <w:szCs w:val="24"/>
              </w:rPr>
              <w:t>Placebo (1)</w:t>
            </w:r>
          </w:p>
        </w:tc>
        <w:tc>
          <w:tcPr>
            <w:tcW w:w="0" w:type="auto"/>
            <w:hideMark/>
          </w:tcPr>
          <w:p w14:paraId="62021F89" w14:textId="66FAB46C" w:rsidR="008313DC" w:rsidRPr="008313DC" w:rsidRDefault="0013789B" w:rsidP="008313DC">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   </w:t>
            </w:r>
            <w:r w:rsidR="008313DC" w:rsidRPr="008313DC">
              <w:rPr>
                <w:rFonts w:cstheme="minorHAnsi"/>
                <w:sz w:val="24"/>
                <w:szCs w:val="24"/>
              </w:rPr>
              <w:t>188</w:t>
            </w:r>
          </w:p>
        </w:tc>
        <w:tc>
          <w:tcPr>
            <w:tcW w:w="0" w:type="auto"/>
            <w:hideMark/>
          </w:tcPr>
          <w:p w14:paraId="0680BA1F" w14:textId="197200E2" w:rsidR="008313DC" w:rsidRPr="008313DC" w:rsidRDefault="0013789B" w:rsidP="008313DC">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    </w:t>
            </w:r>
            <w:r w:rsidR="008313DC" w:rsidRPr="008313DC">
              <w:rPr>
                <w:rFonts w:cstheme="minorHAnsi"/>
                <w:sz w:val="24"/>
                <w:szCs w:val="24"/>
              </w:rPr>
              <w:t>2</w:t>
            </w:r>
          </w:p>
        </w:tc>
        <w:tc>
          <w:tcPr>
            <w:tcW w:w="0" w:type="auto"/>
            <w:hideMark/>
          </w:tcPr>
          <w:p w14:paraId="1370D83C" w14:textId="37A60602" w:rsidR="008313DC" w:rsidRPr="008313DC" w:rsidRDefault="0013789B" w:rsidP="008313DC">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   </w:t>
            </w:r>
            <w:r w:rsidR="008313DC" w:rsidRPr="008313DC">
              <w:rPr>
                <w:rFonts w:cstheme="minorHAnsi"/>
                <w:sz w:val="24"/>
                <w:szCs w:val="24"/>
              </w:rPr>
              <w:t>2 cm</w:t>
            </w:r>
          </w:p>
        </w:tc>
        <w:tc>
          <w:tcPr>
            <w:tcW w:w="0" w:type="auto"/>
            <w:hideMark/>
          </w:tcPr>
          <w:p w14:paraId="6B242646" w14:textId="584687BE" w:rsidR="008313DC" w:rsidRPr="008313DC" w:rsidRDefault="0013789B" w:rsidP="008313DC">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   </w:t>
            </w:r>
            <w:r w:rsidR="008313DC" w:rsidRPr="008313DC">
              <w:rPr>
                <w:rFonts w:cstheme="minorHAnsi"/>
                <w:sz w:val="24"/>
                <w:szCs w:val="24"/>
              </w:rPr>
              <w:t>Higher</w:t>
            </w:r>
          </w:p>
        </w:tc>
      </w:tr>
      <w:tr w:rsidR="0013789B" w:rsidRPr="008313DC" w14:paraId="6A4414ED" w14:textId="77777777" w:rsidTr="00FF1EFE">
        <w:trPr>
          <w:trHeight w:val="404"/>
        </w:trPr>
        <w:tc>
          <w:tcPr>
            <w:cnfStyle w:val="001000000000" w:firstRow="0" w:lastRow="0" w:firstColumn="1" w:lastColumn="0" w:oddVBand="0" w:evenVBand="0" w:oddHBand="0" w:evenHBand="0" w:firstRowFirstColumn="0" w:firstRowLastColumn="0" w:lastRowFirstColumn="0" w:lastRowLastColumn="0"/>
            <w:tcW w:w="0" w:type="auto"/>
            <w:hideMark/>
          </w:tcPr>
          <w:p w14:paraId="15EB175C" w14:textId="77777777" w:rsidR="008313DC" w:rsidRPr="008313DC" w:rsidRDefault="008313DC" w:rsidP="008313DC">
            <w:pPr>
              <w:spacing w:after="160" w:line="480" w:lineRule="auto"/>
              <w:rPr>
                <w:rFonts w:cstheme="minorHAnsi"/>
                <w:sz w:val="24"/>
                <w:szCs w:val="24"/>
              </w:rPr>
            </w:pPr>
            <w:r w:rsidRPr="008313DC">
              <w:rPr>
                <w:rFonts w:cstheme="minorHAnsi"/>
                <w:sz w:val="24"/>
                <w:szCs w:val="24"/>
              </w:rPr>
              <w:t>Thiotepa (2)</w:t>
            </w:r>
          </w:p>
        </w:tc>
        <w:tc>
          <w:tcPr>
            <w:tcW w:w="0" w:type="auto"/>
            <w:hideMark/>
          </w:tcPr>
          <w:p w14:paraId="76EBF198" w14:textId="6ABBFB3C" w:rsidR="008313DC" w:rsidRPr="008313DC" w:rsidRDefault="0013789B" w:rsidP="008313DC">
            <w:pPr>
              <w:spacing w:after="160" w:line="48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r w:rsidR="008313DC" w:rsidRPr="008313DC">
              <w:rPr>
                <w:rFonts w:cstheme="minorHAnsi"/>
                <w:sz w:val="24"/>
                <w:szCs w:val="24"/>
              </w:rPr>
              <w:t>152</w:t>
            </w:r>
          </w:p>
        </w:tc>
        <w:tc>
          <w:tcPr>
            <w:tcW w:w="0" w:type="auto"/>
            <w:hideMark/>
          </w:tcPr>
          <w:p w14:paraId="54A057DE" w14:textId="601CD4B0" w:rsidR="008313DC" w:rsidRPr="008313DC" w:rsidRDefault="0013789B" w:rsidP="008313DC">
            <w:pPr>
              <w:spacing w:after="160" w:line="48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r w:rsidR="008313DC" w:rsidRPr="008313DC">
              <w:rPr>
                <w:rFonts w:cstheme="minorHAnsi"/>
                <w:sz w:val="24"/>
                <w:szCs w:val="24"/>
              </w:rPr>
              <w:t>1</w:t>
            </w:r>
          </w:p>
        </w:tc>
        <w:tc>
          <w:tcPr>
            <w:tcW w:w="0" w:type="auto"/>
            <w:hideMark/>
          </w:tcPr>
          <w:p w14:paraId="2657BF09" w14:textId="3313275E" w:rsidR="008313DC" w:rsidRPr="008313DC" w:rsidRDefault="0013789B" w:rsidP="008313DC">
            <w:pPr>
              <w:spacing w:after="160" w:line="48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r w:rsidR="008313DC" w:rsidRPr="008313DC">
              <w:rPr>
                <w:rFonts w:cstheme="minorHAnsi"/>
                <w:sz w:val="24"/>
                <w:szCs w:val="24"/>
              </w:rPr>
              <w:t>1 cm</w:t>
            </w:r>
          </w:p>
        </w:tc>
        <w:tc>
          <w:tcPr>
            <w:tcW w:w="0" w:type="auto"/>
            <w:hideMark/>
          </w:tcPr>
          <w:p w14:paraId="0F487884" w14:textId="64ACF2CB" w:rsidR="008313DC" w:rsidRPr="008313DC" w:rsidRDefault="0013789B" w:rsidP="008313DC">
            <w:pPr>
              <w:spacing w:after="160" w:line="48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r w:rsidR="008313DC" w:rsidRPr="008313DC">
              <w:rPr>
                <w:rFonts w:cstheme="minorHAnsi"/>
                <w:sz w:val="24"/>
                <w:szCs w:val="24"/>
              </w:rPr>
              <w:t>Lower</w:t>
            </w:r>
          </w:p>
        </w:tc>
      </w:tr>
    </w:tbl>
    <w:p w14:paraId="0ED972CB" w14:textId="77777777" w:rsidR="0013789B" w:rsidRDefault="0013789B" w:rsidP="008313DC">
      <w:pPr>
        <w:spacing w:line="480" w:lineRule="auto"/>
        <w:rPr>
          <w:rFonts w:cstheme="minorHAnsi"/>
          <w:sz w:val="24"/>
          <w:szCs w:val="24"/>
        </w:rPr>
      </w:pPr>
    </w:p>
    <w:p w14:paraId="0C7185D0" w14:textId="77777777" w:rsidR="0013789B" w:rsidRDefault="008313DC" w:rsidP="008313DC">
      <w:pPr>
        <w:spacing w:line="480" w:lineRule="auto"/>
        <w:rPr>
          <w:rFonts w:cstheme="minorHAnsi"/>
          <w:sz w:val="24"/>
          <w:szCs w:val="24"/>
        </w:rPr>
      </w:pPr>
      <w:r w:rsidRPr="008313DC">
        <w:rPr>
          <w:rFonts w:cstheme="minorHAnsi"/>
          <w:sz w:val="24"/>
          <w:szCs w:val="24"/>
        </w:rPr>
        <w:t xml:space="preserve">The Kaplan-Meier estimate showed that the thiotepa group had a higher survival probability over time compared to the placebo group. The log-rank test revealed a statistically significant difference in survival between treatment groups (p = 0.02). </w:t>
      </w:r>
    </w:p>
    <w:p w14:paraId="2F24DC67" w14:textId="1F712001" w:rsidR="0013789B" w:rsidRDefault="00FF1EFE" w:rsidP="008313DC">
      <w:pPr>
        <w:spacing w:line="480" w:lineRule="auto"/>
        <w:rPr>
          <w:rFonts w:cstheme="minorHAnsi"/>
          <w:sz w:val="24"/>
          <w:szCs w:val="24"/>
        </w:rPr>
      </w:pPr>
      <w:r>
        <w:rPr>
          <w:rFonts w:cstheme="minorHAnsi"/>
          <w:b/>
          <w:bCs/>
          <w:sz w:val="24"/>
          <w:szCs w:val="24"/>
        </w:rPr>
        <w:t xml:space="preserve">                                                 </w:t>
      </w:r>
      <w:r w:rsidR="001F6910">
        <w:rPr>
          <w:rFonts w:cstheme="minorHAnsi"/>
          <w:b/>
          <w:bCs/>
          <w:sz w:val="24"/>
          <w:szCs w:val="24"/>
        </w:rPr>
        <w:t xml:space="preserve">           </w:t>
      </w:r>
      <w:r w:rsidRPr="00FF1EFE">
        <w:rPr>
          <w:rFonts w:cstheme="minorHAnsi"/>
          <w:b/>
          <w:bCs/>
          <w:sz w:val="24"/>
          <w:szCs w:val="24"/>
        </w:rPr>
        <w:t>Log-Rank Test Result</w:t>
      </w:r>
    </w:p>
    <w:tbl>
      <w:tblPr>
        <w:tblStyle w:val="PlainTable1"/>
        <w:tblW w:w="9332" w:type="dxa"/>
        <w:tblLook w:val="04A0" w:firstRow="1" w:lastRow="0" w:firstColumn="1" w:lastColumn="0" w:noHBand="0" w:noVBand="1"/>
      </w:tblPr>
      <w:tblGrid>
        <w:gridCol w:w="3086"/>
        <w:gridCol w:w="1794"/>
        <w:gridCol w:w="3115"/>
        <w:gridCol w:w="1337"/>
      </w:tblGrid>
      <w:tr w:rsidR="0013789B" w:rsidRPr="0013789B" w14:paraId="3A44958E" w14:textId="77777777" w:rsidTr="00CE4FEC">
        <w:trPr>
          <w:cnfStyle w:val="100000000000" w:firstRow="1" w:lastRow="0" w:firstColumn="0" w:lastColumn="0" w:oddVBand="0" w:evenVBand="0" w:oddHBand="0"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0" w:type="auto"/>
            <w:hideMark/>
          </w:tcPr>
          <w:p w14:paraId="1EBB0D42" w14:textId="77777777" w:rsidR="0013789B" w:rsidRPr="0013789B" w:rsidRDefault="0013789B" w:rsidP="00CE4FEC">
            <w:pPr>
              <w:spacing w:after="160" w:line="480" w:lineRule="auto"/>
              <w:rPr>
                <w:rFonts w:cstheme="minorHAnsi"/>
                <w:sz w:val="24"/>
                <w:szCs w:val="24"/>
              </w:rPr>
            </w:pPr>
            <w:r w:rsidRPr="0013789B">
              <w:rPr>
                <w:rFonts w:cstheme="minorHAnsi"/>
                <w:sz w:val="24"/>
                <w:szCs w:val="24"/>
              </w:rPr>
              <w:t>Comparison</w:t>
            </w:r>
          </w:p>
        </w:tc>
        <w:tc>
          <w:tcPr>
            <w:tcW w:w="0" w:type="auto"/>
            <w:hideMark/>
          </w:tcPr>
          <w:p w14:paraId="08F84D62" w14:textId="77777777" w:rsidR="0013789B" w:rsidRPr="0013789B" w:rsidRDefault="0013789B" w:rsidP="00CE4FEC">
            <w:pPr>
              <w:spacing w:after="160"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3789B">
              <w:rPr>
                <w:rFonts w:cstheme="minorHAnsi"/>
                <w:sz w:val="24"/>
                <w:szCs w:val="24"/>
              </w:rPr>
              <w:t>Chi-square</w:t>
            </w:r>
          </w:p>
        </w:tc>
        <w:tc>
          <w:tcPr>
            <w:tcW w:w="0" w:type="auto"/>
            <w:hideMark/>
          </w:tcPr>
          <w:p w14:paraId="38BD691E" w14:textId="77777777" w:rsidR="0013789B" w:rsidRPr="0013789B" w:rsidRDefault="0013789B" w:rsidP="00CE4FEC">
            <w:pPr>
              <w:spacing w:after="160"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3789B">
              <w:rPr>
                <w:rFonts w:cstheme="minorHAnsi"/>
                <w:sz w:val="24"/>
                <w:szCs w:val="24"/>
              </w:rPr>
              <w:t>Degrees of Freedom</w:t>
            </w:r>
          </w:p>
        </w:tc>
        <w:tc>
          <w:tcPr>
            <w:tcW w:w="0" w:type="auto"/>
            <w:hideMark/>
          </w:tcPr>
          <w:p w14:paraId="5576666F" w14:textId="77777777" w:rsidR="0013789B" w:rsidRPr="0013789B" w:rsidRDefault="0013789B" w:rsidP="00CE4FEC">
            <w:pPr>
              <w:spacing w:after="160"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3789B">
              <w:rPr>
                <w:rFonts w:cstheme="minorHAnsi"/>
                <w:sz w:val="24"/>
                <w:szCs w:val="24"/>
              </w:rPr>
              <w:t>p-value</w:t>
            </w:r>
          </w:p>
        </w:tc>
      </w:tr>
      <w:tr w:rsidR="0013789B" w:rsidRPr="0013789B" w14:paraId="21D0D98F" w14:textId="77777777" w:rsidTr="00CE4FEC">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0" w:type="auto"/>
            <w:hideMark/>
          </w:tcPr>
          <w:p w14:paraId="742A2B45" w14:textId="77777777" w:rsidR="0013789B" w:rsidRPr="0013789B" w:rsidRDefault="0013789B" w:rsidP="00CE4FEC">
            <w:pPr>
              <w:spacing w:after="160" w:line="480" w:lineRule="auto"/>
              <w:rPr>
                <w:rFonts w:cstheme="minorHAnsi"/>
                <w:sz w:val="24"/>
                <w:szCs w:val="24"/>
              </w:rPr>
            </w:pPr>
            <w:r w:rsidRPr="0013789B">
              <w:rPr>
                <w:rFonts w:cstheme="minorHAnsi"/>
                <w:sz w:val="24"/>
                <w:szCs w:val="24"/>
              </w:rPr>
              <w:t>Thiotepa vs Placebo</w:t>
            </w:r>
          </w:p>
        </w:tc>
        <w:tc>
          <w:tcPr>
            <w:tcW w:w="0" w:type="auto"/>
            <w:hideMark/>
          </w:tcPr>
          <w:p w14:paraId="10CAE93C" w14:textId="77777777" w:rsidR="0013789B" w:rsidRPr="0013789B" w:rsidRDefault="0013789B" w:rsidP="00CE4FEC">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3789B">
              <w:rPr>
                <w:rFonts w:cstheme="minorHAnsi"/>
                <w:sz w:val="24"/>
                <w:szCs w:val="24"/>
              </w:rPr>
              <w:t>5.2</w:t>
            </w:r>
          </w:p>
        </w:tc>
        <w:tc>
          <w:tcPr>
            <w:tcW w:w="0" w:type="auto"/>
            <w:hideMark/>
          </w:tcPr>
          <w:p w14:paraId="53625D51" w14:textId="77777777" w:rsidR="0013789B" w:rsidRPr="0013789B" w:rsidRDefault="0013789B" w:rsidP="00CE4FEC">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3789B">
              <w:rPr>
                <w:rFonts w:cstheme="minorHAnsi"/>
                <w:sz w:val="24"/>
                <w:szCs w:val="24"/>
              </w:rPr>
              <w:t>1</w:t>
            </w:r>
          </w:p>
        </w:tc>
        <w:tc>
          <w:tcPr>
            <w:tcW w:w="0" w:type="auto"/>
            <w:hideMark/>
          </w:tcPr>
          <w:p w14:paraId="7FA2C0F1" w14:textId="77777777" w:rsidR="0013789B" w:rsidRPr="0013789B" w:rsidRDefault="0013789B" w:rsidP="00CE4FEC">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3789B">
              <w:rPr>
                <w:rFonts w:cstheme="minorHAnsi"/>
                <w:sz w:val="24"/>
                <w:szCs w:val="24"/>
              </w:rPr>
              <w:t>0.02</w:t>
            </w:r>
          </w:p>
        </w:tc>
      </w:tr>
    </w:tbl>
    <w:p w14:paraId="4D67B5EC" w14:textId="77777777" w:rsidR="0013789B" w:rsidRDefault="0013789B" w:rsidP="008313DC">
      <w:pPr>
        <w:spacing w:line="480" w:lineRule="auto"/>
        <w:rPr>
          <w:rFonts w:cstheme="minorHAnsi"/>
          <w:sz w:val="24"/>
          <w:szCs w:val="24"/>
        </w:rPr>
      </w:pPr>
    </w:p>
    <w:p w14:paraId="22D343A3" w14:textId="7A2736A1" w:rsidR="0013789B" w:rsidRDefault="008313DC" w:rsidP="008313DC">
      <w:pPr>
        <w:spacing w:line="480" w:lineRule="auto"/>
        <w:rPr>
          <w:rFonts w:cstheme="minorHAnsi"/>
          <w:sz w:val="24"/>
          <w:szCs w:val="24"/>
        </w:rPr>
      </w:pPr>
      <w:r w:rsidRPr="008313DC">
        <w:rPr>
          <w:rFonts w:cstheme="minorHAnsi"/>
          <w:sz w:val="24"/>
          <w:szCs w:val="24"/>
        </w:rPr>
        <w:lastRenderedPageBreak/>
        <w:t>In the Cox proportional hazards model, the hazard ratio (HR) for thiotepa was 0.58 (95% CI: 0.39–0.86, p = 0.0069), indicating a 42% reduction in recurrence hazard. The number of tumors was significantly associated with recurrence, with an HR of 1.21 (95% CI: 1.11–1.33, p &lt; 0.001). Tumor size was not significantly associated with recurrence (HR = 0.95, p = 0.43).</w:t>
      </w:r>
    </w:p>
    <w:p w14:paraId="3CB56B5C" w14:textId="269A7624" w:rsidR="00FF1EFE" w:rsidRDefault="00FF1EFE" w:rsidP="008313DC">
      <w:pPr>
        <w:spacing w:line="480" w:lineRule="auto"/>
        <w:rPr>
          <w:rFonts w:cstheme="minorHAnsi"/>
          <w:sz w:val="24"/>
          <w:szCs w:val="24"/>
        </w:rPr>
      </w:pPr>
      <w:r>
        <w:rPr>
          <w:rFonts w:cstheme="minorHAnsi"/>
          <w:b/>
          <w:bCs/>
          <w:sz w:val="24"/>
          <w:szCs w:val="24"/>
        </w:rPr>
        <w:t xml:space="preserve">                                       </w:t>
      </w:r>
      <w:r w:rsidR="001F6910">
        <w:rPr>
          <w:rFonts w:cstheme="minorHAnsi"/>
          <w:b/>
          <w:bCs/>
          <w:sz w:val="24"/>
          <w:szCs w:val="24"/>
        </w:rPr>
        <w:t xml:space="preserve">     </w:t>
      </w:r>
      <w:r>
        <w:rPr>
          <w:rFonts w:cstheme="minorHAnsi"/>
          <w:b/>
          <w:bCs/>
          <w:sz w:val="24"/>
          <w:szCs w:val="24"/>
        </w:rPr>
        <w:t xml:space="preserve">   </w:t>
      </w:r>
      <w:r w:rsidRPr="00FF1EFE">
        <w:rPr>
          <w:rFonts w:cstheme="minorHAnsi"/>
          <w:b/>
          <w:bCs/>
          <w:sz w:val="24"/>
          <w:szCs w:val="24"/>
        </w:rPr>
        <w:t>Cox Proportional Hazards Model Results</w:t>
      </w:r>
    </w:p>
    <w:tbl>
      <w:tblPr>
        <w:tblStyle w:val="PlainTable1"/>
        <w:tblW w:w="9640" w:type="dxa"/>
        <w:tblLook w:val="04A0" w:firstRow="1" w:lastRow="0" w:firstColumn="1" w:lastColumn="0" w:noHBand="0" w:noVBand="1"/>
      </w:tblPr>
      <w:tblGrid>
        <w:gridCol w:w="2631"/>
        <w:gridCol w:w="2491"/>
        <w:gridCol w:w="3314"/>
        <w:gridCol w:w="1204"/>
      </w:tblGrid>
      <w:tr w:rsidR="00FF1EFE" w:rsidRPr="00FF1EFE" w14:paraId="65698222" w14:textId="77777777" w:rsidTr="00FF1EFE">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0" w:type="auto"/>
            <w:hideMark/>
          </w:tcPr>
          <w:p w14:paraId="3DA524D1" w14:textId="77777777" w:rsidR="00FF1EFE" w:rsidRPr="00FF1EFE" w:rsidRDefault="00FF1EFE" w:rsidP="00FF1EFE">
            <w:pPr>
              <w:spacing w:after="160" w:line="480" w:lineRule="auto"/>
              <w:rPr>
                <w:rFonts w:cstheme="minorHAnsi"/>
                <w:sz w:val="24"/>
                <w:szCs w:val="24"/>
              </w:rPr>
            </w:pPr>
            <w:r w:rsidRPr="00FF1EFE">
              <w:rPr>
                <w:rFonts w:cstheme="minorHAnsi"/>
                <w:sz w:val="24"/>
                <w:szCs w:val="24"/>
              </w:rPr>
              <w:t>Variable</w:t>
            </w:r>
          </w:p>
        </w:tc>
        <w:tc>
          <w:tcPr>
            <w:tcW w:w="0" w:type="auto"/>
            <w:hideMark/>
          </w:tcPr>
          <w:p w14:paraId="0382429E" w14:textId="77777777" w:rsidR="00FF1EFE" w:rsidRPr="00FF1EFE" w:rsidRDefault="00FF1EFE" w:rsidP="00FF1EFE">
            <w:pPr>
              <w:spacing w:after="160"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F1EFE">
              <w:rPr>
                <w:rFonts w:cstheme="minorHAnsi"/>
                <w:sz w:val="24"/>
                <w:szCs w:val="24"/>
              </w:rPr>
              <w:t>Hazard Ratio (HR)</w:t>
            </w:r>
          </w:p>
        </w:tc>
        <w:tc>
          <w:tcPr>
            <w:tcW w:w="0" w:type="auto"/>
            <w:hideMark/>
          </w:tcPr>
          <w:p w14:paraId="37424EF6" w14:textId="77777777" w:rsidR="00FF1EFE" w:rsidRPr="00FF1EFE" w:rsidRDefault="00FF1EFE" w:rsidP="00FF1EFE">
            <w:pPr>
              <w:spacing w:after="160"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F1EFE">
              <w:rPr>
                <w:rFonts w:cstheme="minorHAnsi"/>
                <w:sz w:val="24"/>
                <w:szCs w:val="24"/>
              </w:rPr>
              <w:t>95% Confidence Interval</w:t>
            </w:r>
          </w:p>
        </w:tc>
        <w:tc>
          <w:tcPr>
            <w:tcW w:w="0" w:type="auto"/>
            <w:hideMark/>
          </w:tcPr>
          <w:p w14:paraId="05DC099D" w14:textId="77777777" w:rsidR="00FF1EFE" w:rsidRPr="00FF1EFE" w:rsidRDefault="00FF1EFE" w:rsidP="00FF1EFE">
            <w:pPr>
              <w:spacing w:after="160"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F1EFE">
              <w:rPr>
                <w:rFonts w:cstheme="minorHAnsi"/>
                <w:sz w:val="24"/>
                <w:szCs w:val="24"/>
              </w:rPr>
              <w:t>p-value</w:t>
            </w:r>
          </w:p>
        </w:tc>
      </w:tr>
      <w:tr w:rsidR="00FF1EFE" w:rsidRPr="00FF1EFE" w14:paraId="0DB05B29" w14:textId="77777777" w:rsidTr="00FF1EFE">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0" w:type="auto"/>
            <w:hideMark/>
          </w:tcPr>
          <w:p w14:paraId="1BB231BD" w14:textId="77777777" w:rsidR="00FF1EFE" w:rsidRPr="00FF1EFE" w:rsidRDefault="00FF1EFE" w:rsidP="00FF1EFE">
            <w:pPr>
              <w:spacing w:after="160" w:line="480" w:lineRule="auto"/>
              <w:rPr>
                <w:rFonts w:cstheme="minorHAnsi"/>
                <w:sz w:val="24"/>
                <w:szCs w:val="24"/>
              </w:rPr>
            </w:pPr>
            <w:r w:rsidRPr="00FF1EFE">
              <w:rPr>
                <w:rFonts w:cstheme="minorHAnsi"/>
                <w:sz w:val="24"/>
                <w:szCs w:val="24"/>
              </w:rPr>
              <w:t>Treatment (</w:t>
            </w:r>
            <w:proofErr w:type="spellStart"/>
            <w:r w:rsidRPr="00FF1EFE">
              <w:rPr>
                <w:rFonts w:cstheme="minorHAnsi"/>
                <w:sz w:val="24"/>
                <w:szCs w:val="24"/>
              </w:rPr>
              <w:t>rx</w:t>
            </w:r>
            <w:proofErr w:type="spellEnd"/>
            <w:r w:rsidRPr="00FF1EFE">
              <w:rPr>
                <w:rFonts w:cstheme="minorHAnsi"/>
                <w:sz w:val="24"/>
                <w:szCs w:val="24"/>
              </w:rPr>
              <w:t>)</w:t>
            </w:r>
          </w:p>
        </w:tc>
        <w:tc>
          <w:tcPr>
            <w:tcW w:w="0" w:type="auto"/>
            <w:hideMark/>
          </w:tcPr>
          <w:p w14:paraId="1E2ADBE8" w14:textId="77777777" w:rsidR="00FF1EFE" w:rsidRPr="00FF1EFE" w:rsidRDefault="00FF1EFE" w:rsidP="00FF1EFE">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1EFE">
              <w:rPr>
                <w:rFonts w:cstheme="minorHAnsi"/>
                <w:sz w:val="24"/>
                <w:szCs w:val="24"/>
              </w:rPr>
              <w:t>0.58</w:t>
            </w:r>
          </w:p>
        </w:tc>
        <w:tc>
          <w:tcPr>
            <w:tcW w:w="0" w:type="auto"/>
            <w:hideMark/>
          </w:tcPr>
          <w:p w14:paraId="6D430841" w14:textId="77777777" w:rsidR="00FF1EFE" w:rsidRPr="00FF1EFE" w:rsidRDefault="00FF1EFE" w:rsidP="00FF1EFE">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1EFE">
              <w:rPr>
                <w:rFonts w:cstheme="minorHAnsi"/>
                <w:sz w:val="24"/>
                <w:szCs w:val="24"/>
              </w:rPr>
              <w:t>0.39 – 0.86</w:t>
            </w:r>
          </w:p>
        </w:tc>
        <w:tc>
          <w:tcPr>
            <w:tcW w:w="0" w:type="auto"/>
            <w:hideMark/>
          </w:tcPr>
          <w:p w14:paraId="3FA08F90" w14:textId="77777777" w:rsidR="00FF1EFE" w:rsidRPr="00FF1EFE" w:rsidRDefault="00FF1EFE" w:rsidP="00FF1EFE">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1EFE">
              <w:rPr>
                <w:rFonts w:cstheme="minorHAnsi"/>
                <w:sz w:val="24"/>
                <w:szCs w:val="24"/>
              </w:rPr>
              <w:t>0.0069</w:t>
            </w:r>
          </w:p>
        </w:tc>
      </w:tr>
      <w:tr w:rsidR="00FF1EFE" w:rsidRPr="00FF1EFE" w14:paraId="608BA198" w14:textId="77777777" w:rsidTr="00FF1EFE">
        <w:trPr>
          <w:trHeight w:val="774"/>
        </w:trPr>
        <w:tc>
          <w:tcPr>
            <w:cnfStyle w:val="001000000000" w:firstRow="0" w:lastRow="0" w:firstColumn="1" w:lastColumn="0" w:oddVBand="0" w:evenVBand="0" w:oddHBand="0" w:evenHBand="0" w:firstRowFirstColumn="0" w:firstRowLastColumn="0" w:lastRowFirstColumn="0" w:lastRowLastColumn="0"/>
            <w:tcW w:w="0" w:type="auto"/>
            <w:hideMark/>
          </w:tcPr>
          <w:p w14:paraId="41A5F130" w14:textId="77777777" w:rsidR="00FF1EFE" w:rsidRPr="00FF1EFE" w:rsidRDefault="00FF1EFE" w:rsidP="00FF1EFE">
            <w:pPr>
              <w:spacing w:after="160" w:line="480" w:lineRule="auto"/>
              <w:rPr>
                <w:rFonts w:cstheme="minorHAnsi"/>
                <w:sz w:val="24"/>
                <w:szCs w:val="24"/>
              </w:rPr>
            </w:pPr>
            <w:r w:rsidRPr="00FF1EFE">
              <w:rPr>
                <w:rFonts w:cstheme="minorHAnsi"/>
                <w:sz w:val="24"/>
                <w:szCs w:val="24"/>
              </w:rPr>
              <w:t>Number of Tumors</w:t>
            </w:r>
          </w:p>
        </w:tc>
        <w:tc>
          <w:tcPr>
            <w:tcW w:w="0" w:type="auto"/>
            <w:hideMark/>
          </w:tcPr>
          <w:p w14:paraId="1622883F" w14:textId="77777777" w:rsidR="00FF1EFE" w:rsidRPr="00FF1EFE" w:rsidRDefault="00FF1EFE" w:rsidP="00FF1EFE">
            <w:pPr>
              <w:spacing w:after="160" w:line="48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1EFE">
              <w:rPr>
                <w:rFonts w:cstheme="minorHAnsi"/>
                <w:sz w:val="24"/>
                <w:szCs w:val="24"/>
              </w:rPr>
              <w:t>1.21</w:t>
            </w:r>
          </w:p>
        </w:tc>
        <w:tc>
          <w:tcPr>
            <w:tcW w:w="0" w:type="auto"/>
            <w:hideMark/>
          </w:tcPr>
          <w:p w14:paraId="45D18924" w14:textId="77777777" w:rsidR="00FF1EFE" w:rsidRPr="00FF1EFE" w:rsidRDefault="00FF1EFE" w:rsidP="00FF1EFE">
            <w:pPr>
              <w:spacing w:after="160" w:line="48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1EFE">
              <w:rPr>
                <w:rFonts w:cstheme="minorHAnsi"/>
                <w:sz w:val="24"/>
                <w:szCs w:val="24"/>
              </w:rPr>
              <w:t>1.11 – 1.33</w:t>
            </w:r>
          </w:p>
        </w:tc>
        <w:tc>
          <w:tcPr>
            <w:tcW w:w="0" w:type="auto"/>
            <w:hideMark/>
          </w:tcPr>
          <w:p w14:paraId="12870305" w14:textId="77777777" w:rsidR="00FF1EFE" w:rsidRPr="00FF1EFE" w:rsidRDefault="00FF1EFE" w:rsidP="00FF1EFE">
            <w:pPr>
              <w:spacing w:after="160" w:line="48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1EFE">
              <w:rPr>
                <w:rFonts w:cstheme="minorHAnsi"/>
                <w:sz w:val="24"/>
                <w:szCs w:val="24"/>
              </w:rPr>
              <w:t>&lt;0.001</w:t>
            </w:r>
          </w:p>
        </w:tc>
      </w:tr>
      <w:tr w:rsidR="00FF1EFE" w:rsidRPr="00FF1EFE" w14:paraId="364F5858" w14:textId="77777777" w:rsidTr="00FF1EFE">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0" w:type="auto"/>
            <w:hideMark/>
          </w:tcPr>
          <w:p w14:paraId="67C328B2" w14:textId="77777777" w:rsidR="00FF1EFE" w:rsidRPr="00FF1EFE" w:rsidRDefault="00FF1EFE" w:rsidP="00FF1EFE">
            <w:pPr>
              <w:spacing w:after="160" w:line="480" w:lineRule="auto"/>
              <w:rPr>
                <w:rFonts w:cstheme="minorHAnsi"/>
                <w:sz w:val="24"/>
                <w:szCs w:val="24"/>
              </w:rPr>
            </w:pPr>
            <w:r w:rsidRPr="00FF1EFE">
              <w:rPr>
                <w:rFonts w:cstheme="minorHAnsi"/>
                <w:sz w:val="24"/>
                <w:szCs w:val="24"/>
              </w:rPr>
              <w:t>Tumor Size</w:t>
            </w:r>
          </w:p>
        </w:tc>
        <w:tc>
          <w:tcPr>
            <w:tcW w:w="0" w:type="auto"/>
            <w:hideMark/>
          </w:tcPr>
          <w:p w14:paraId="44FD24C2" w14:textId="77777777" w:rsidR="00FF1EFE" w:rsidRPr="00FF1EFE" w:rsidRDefault="00FF1EFE" w:rsidP="00FF1EFE">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1EFE">
              <w:rPr>
                <w:rFonts w:cstheme="minorHAnsi"/>
                <w:sz w:val="24"/>
                <w:szCs w:val="24"/>
              </w:rPr>
              <w:t>0.95</w:t>
            </w:r>
          </w:p>
        </w:tc>
        <w:tc>
          <w:tcPr>
            <w:tcW w:w="0" w:type="auto"/>
            <w:hideMark/>
          </w:tcPr>
          <w:p w14:paraId="3E77F620" w14:textId="77777777" w:rsidR="00FF1EFE" w:rsidRPr="00FF1EFE" w:rsidRDefault="00FF1EFE" w:rsidP="00FF1EFE">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1EFE">
              <w:rPr>
                <w:rFonts w:cstheme="minorHAnsi"/>
                <w:sz w:val="24"/>
                <w:szCs w:val="24"/>
              </w:rPr>
              <w:t>0.83 – 1.09</w:t>
            </w:r>
          </w:p>
        </w:tc>
        <w:tc>
          <w:tcPr>
            <w:tcW w:w="0" w:type="auto"/>
            <w:hideMark/>
          </w:tcPr>
          <w:p w14:paraId="1B2A06B0" w14:textId="77777777" w:rsidR="00FF1EFE" w:rsidRPr="00FF1EFE" w:rsidRDefault="00FF1EFE" w:rsidP="00FF1EFE">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1EFE">
              <w:rPr>
                <w:rFonts w:cstheme="minorHAnsi"/>
                <w:sz w:val="24"/>
                <w:szCs w:val="24"/>
              </w:rPr>
              <w:t>0.43</w:t>
            </w:r>
          </w:p>
        </w:tc>
      </w:tr>
    </w:tbl>
    <w:p w14:paraId="59A82136" w14:textId="77777777" w:rsidR="00FF1EFE" w:rsidRPr="008313DC" w:rsidRDefault="00FF1EFE" w:rsidP="008313DC">
      <w:pPr>
        <w:spacing w:line="480" w:lineRule="auto"/>
        <w:rPr>
          <w:rFonts w:cstheme="minorHAnsi"/>
          <w:sz w:val="24"/>
          <w:szCs w:val="24"/>
        </w:rPr>
      </w:pPr>
    </w:p>
    <w:p w14:paraId="62AC0B86" w14:textId="77777777" w:rsidR="00FF1EFE" w:rsidRDefault="008313DC" w:rsidP="008313DC">
      <w:pPr>
        <w:spacing w:line="480" w:lineRule="auto"/>
        <w:rPr>
          <w:rFonts w:cstheme="minorHAnsi"/>
          <w:sz w:val="24"/>
          <w:szCs w:val="24"/>
        </w:rPr>
      </w:pPr>
      <w:r w:rsidRPr="008313DC">
        <w:rPr>
          <w:rFonts w:cstheme="minorHAnsi"/>
          <w:sz w:val="24"/>
          <w:szCs w:val="24"/>
        </w:rPr>
        <w:t xml:space="preserve">Parametric models </w:t>
      </w:r>
      <w:r w:rsidR="00FF1EFE">
        <w:rPr>
          <w:rFonts w:cstheme="minorHAnsi"/>
          <w:sz w:val="24"/>
          <w:szCs w:val="24"/>
        </w:rPr>
        <w:t xml:space="preserve">also </w:t>
      </w:r>
      <w:r w:rsidRPr="008313DC">
        <w:rPr>
          <w:rFonts w:cstheme="minorHAnsi"/>
          <w:sz w:val="24"/>
          <w:szCs w:val="24"/>
        </w:rPr>
        <w:t>showed that the Weibull model had an AIC of 1178.54, while the lognormal model had a slightly lower AIC of 1177.89, indicating a better fit. The Akaike Information Criterion (AIC) is a measure of model quality that considers both the goodness-of-fit and model complexity. Lower AIC values suggest a better balance between these aspects. Therefore, while both models fit the data well, the lognormal model appears to slightly outperform the Weibull model in terms of overall predictive ability.</w:t>
      </w:r>
    </w:p>
    <w:p w14:paraId="060210B9" w14:textId="77777777" w:rsidR="001F6910" w:rsidRDefault="001F6910" w:rsidP="008313DC">
      <w:pPr>
        <w:spacing w:line="480" w:lineRule="auto"/>
        <w:rPr>
          <w:rFonts w:cstheme="minorHAnsi"/>
          <w:sz w:val="24"/>
          <w:szCs w:val="24"/>
        </w:rPr>
      </w:pPr>
    </w:p>
    <w:p w14:paraId="262A58CD" w14:textId="77777777" w:rsidR="001F6910" w:rsidRDefault="001F6910" w:rsidP="008313DC">
      <w:pPr>
        <w:spacing w:line="480" w:lineRule="auto"/>
        <w:rPr>
          <w:rFonts w:cstheme="minorHAnsi"/>
          <w:sz w:val="24"/>
          <w:szCs w:val="24"/>
        </w:rPr>
      </w:pPr>
    </w:p>
    <w:p w14:paraId="4FA86096" w14:textId="77777777" w:rsidR="001F6910" w:rsidRDefault="001F6910" w:rsidP="008313DC">
      <w:pPr>
        <w:spacing w:line="480" w:lineRule="auto"/>
        <w:rPr>
          <w:rFonts w:cstheme="minorHAnsi"/>
          <w:sz w:val="24"/>
          <w:szCs w:val="24"/>
        </w:rPr>
      </w:pPr>
    </w:p>
    <w:p w14:paraId="0AB325B8" w14:textId="057178F6" w:rsidR="00FF1EFE" w:rsidRDefault="00FF1EFE" w:rsidP="008313DC">
      <w:pPr>
        <w:spacing w:line="480" w:lineRule="auto"/>
        <w:rPr>
          <w:rFonts w:cstheme="minorHAnsi"/>
          <w:sz w:val="24"/>
          <w:szCs w:val="24"/>
        </w:rPr>
      </w:pPr>
      <w:r>
        <w:rPr>
          <w:rFonts w:cstheme="minorHAnsi"/>
          <w:b/>
          <w:bCs/>
          <w:sz w:val="24"/>
          <w:szCs w:val="24"/>
        </w:rPr>
        <w:lastRenderedPageBreak/>
        <w:t xml:space="preserve">                                   </w:t>
      </w:r>
      <w:r w:rsidRPr="00FF1EFE">
        <w:rPr>
          <w:rFonts w:cstheme="minorHAnsi"/>
          <w:b/>
          <w:bCs/>
          <w:sz w:val="24"/>
          <w:szCs w:val="24"/>
        </w:rPr>
        <w:t>Model Fit Using Akaike Information Criterion (AIC)</w:t>
      </w:r>
      <w:r>
        <w:rPr>
          <w:rFonts w:cstheme="minorHAnsi"/>
          <w:sz w:val="24"/>
          <w:szCs w:val="24"/>
        </w:rPr>
        <w:t xml:space="preserve"> </w:t>
      </w:r>
    </w:p>
    <w:tbl>
      <w:tblPr>
        <w:tblStyle w:val="PlainTable1"/>
        <w:tblW w:w="4761" w:type="dxa"/>
        <w:tblInd w:w="2055" w:type="dxa"/>
        <w:tblLook w:val="04A0" w:firstRow="1" w:lastRow="0" w:firstColumn="1" w:lastColumn="0" w:noHBand="0" w:noVBand="1"/>
      </w:tblPr>
      <w:tblGrid>
        <w:gridCol w:w="2595"/>
        <w:gridCol w:w="2166"/>
      </w:tblGrid>
      <w:tr w:rsidR="00FF1EFE" w:rsidRPr="00FF1EFE" w14:paraId="52DFC9D3" w14:textId="77777777" w:rsidTr="00FF1EF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5DBB2DB7" w14:textId="77777777" w:rsidR="00FF1EFE" w:rsidRPr="00FF1EFE" w:rsidRDefault="00FF1EFE" w:rsidP="00FF1EFE">
            <w:pPr>
              <w:spacing w:after="160" w:line="480" w:lineRule="auto"/>
              <w:rPr>
                <w:rFonts w:cstheme="minorHAnsi"/>
                <w:sz w:val="24"/>
                <w:szCs w:val="24"/>
              </w:rPr>
            </w:pPr>
            <w:r w:rsidRPr="00FF1EFE">
              <w:rPr>
                <w:rFonts w:cstheme="minorHAnsi"/>
                <w:sz w:val="24"/>
                <w:szCs w:val="24"/>
              </w:rPr>
              <w:t>Model Type</w:t>
            </w:r>
          </w:p>
        </w:tc>
        <w:tc>
          <w:tcPr>
            <w:tcW w:w="0" w:type="auto"/>
            <w:hideMark/>
          </w:tcPr>
          <w:p w14:paraId="70D5BDD0" w14:textId="77777777" w:rsidR="00FF1EFE" w:rsidRPr="00FF1EFE" w:rsidRDefault="00FF1EFE" w:rsidP="00FF1EFE">
            <w:pPr>
              <w:spacing w:after="160"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F1EFE">
              <w:rPr>
                <w:rFonts w:cstheme="minorHAnsi"/>
                <w:sz w:val="24"/>
                <w:szCs w:val="24"/>
              </w:rPr>
              <w:t>AIC Value</w:t>
            </w:r>
          </w:p>
        </w:tc>
      </w:tr>
      <w:tr w:rsidR="00FF1EFE" w:rsidRPr="00FF1EFE" w14:paraId="6D122FB6" w14:textId="77777777" w:rsidTr="00FF1EF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hideMark/>
          </w:tcPr>
          <w:p w14:paraId="6E4E87D4" w14:textId="77777777" w:rsidR="00FF1EFE" w:rsidRPr="00FF1EFE" w:rsidRDefault="00FF1EFE" w:rsidP="00FF1EFE">
            <w:pPr>
              <w:spacing w:after="160" w:line="480" w:lineRule="auto"/>
              <w:rPr>
                <w:rFonts w:cstheme="minorHAnsi"/>
                <w:sz w:val="24"/>
                <w:szCs w:val="24"/>
              </w:rPr>
            </w:pPr>
            <w:r w:rsidRPr="00FF1EFE">
              <w:rPr>
                <w:rFonts w:cstheme="minorHAnsi"/>
                <w:sz w:val="24"/>
                <w:szCs w:val="24"/>
              </w:rPr>
              <w:t>Weibull</w:t>
            </w:r>
          </w:p>
        </w:tc>
        <w:tc>
          <w:tcPr>
            <w:tcW w:w="0" w:type="auto"/>
            <w:hideMark/>
          </w:tcPr>
          <w:p w14:paraId="55BDCA99" w14:textId="77777777" w:rsidR="00FF1EFE" w:rsidRPr="00FF1EFE" w:rsidRDefault="00FF1EFE" w:rsidP="00FF1EFE">
            <w:pPr>
              <w:spacing w:after="160"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1EFE">
              <w:rPr>
                <w:rFonts w:cstheme="minorHAnsi"/>
                <w:sz w:val="24"/>
                <w:szCs w:val="24"/>
              </w:rPr>
              <w:t>1178.54</w:t>
            </w:r>
          </w:p>
        </w:tc>
      </w:tr>
      <w:tr w:rsidR="00FF1EFE" w:rsidRPr="00FF1EFE" w14:paraId="70F87B8E" w14:textId="77777777" w:rsidTr="00FF1EFE">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6DBD5B0A" w14:textId="77777777" w:rsidR="00FF1EFE" w:rsidRPr="00FF1EFE" w:rsidRDefault="00FF1EFE" w:rsidP="00FF1EFE">
            <w:pPr>
              <w:spacing w:after="160" w:line="480" w:lineRule="auto"/>
              <w:rPr>
                <w:rFonts w:cstheme="minorHAnsi"/>
                <w:sz w:val="24"/>
                <w:szCs w:val="24"/>
              </w:rPr>
            </w:pPr>
            <w:r w:rsidRPr="00FF1EFE">
              <w:rPr>
                <w:rFonts w:cstheme="minorHAnsi"/>
                <w:sz w:val="24"/>
                <w:szCs w:val="24"/>
              </w:rPr>
              <w:t>Lognormal</w:t>
            </w:r>
          </w:p>
        </w:tc>
        <w:tc>
          <w:tcPr>
            <w:tcW w:w="0" w:type="auto"/>
            <w:hideMark/>
          </w:tcPr>
          <w:p w14:paraId="145A8DA4" w14:textId="77777777" w:rsidR="00FF1EFE" w:rsidRPr="00FF1EFE" w:rsidRDefault="00FF1EFE" w:rsidP="00FF1EFE">
            <w:pPr>
              <w:spacing w:after="160" w:line="48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1EFE">
              <w:rPr>
                <w:rFonts w:cstheme="minorHAnsi"/>
                <w:sz w:val="24"/>
                <w:szCs w:val="24"/>
              </w:rPr>
              <w:t>1177.89</w:t>
            </w:r>
          </w:p>
        </w:tc>
      </w:tr>
    </w:tbl>
    <w:p w14:paraId="739ECDE5" w14:textId="77777777" w:rsidR="00FF1EFE" w:rsidRDefault="00FF1EFE" w:rsidP="008313DC">
      <w:pPr>
        <w:spacing w:line="480" w:lineRule="auto"/>
        <w:rPr>
          <w:rFonts w:cstheme="minorHAnsi"/>
          <w:sz w:val="24"/>
          <w:szCs w:val="24"/>
        </w:rPr>
      </w:pPr>
    </w:p>
    <w:p w14:paraId="4A324A0E" w14:textId="0C960DDF" w:rsidR="008313DC" w:rsidRPr="008313DC" w:rsidRDefault="008313DC" w:rsidP="008313DC">
      <w:pPr>
        <w:spacing w:line="480" w:lineRule="auto"/>
        <w:rPr>
          <w:rFonts w:cstheme="minorHAnsi"/>
          <w:sz w:val="24"/>
          <w:szCs w:val="24"/>
        </w:rPr>
      </w:pPr>
      <w:r w:rsidRPr="008313DC">
        <w:rPr>
          <w:rFonts w:cstheme="minorHAnsi"/>
          <w:sz w:val="24"/>
          <w:szCs w:val="24"/>
        </w:rPr>
        <w:t>Both models produced survival probability estimates consistent with those from the Kaplan-Meier and Cox models. Comparing Cox proportional hazards and parametric models provides complementary insights. The Cox model is semi-parametric and does not assume any specific distribution of survival times, making it flexible and widely applicable, especially when the proportional hazards assumption holds. In contrast, parametric models like Weibull and lognormal rely on defined probability distributions and can provide more precise survival time predictions, especially for extrapolation beyond observed data. However, they require that the chosen distribution appropriately represents the underlying hazard function. By incorporating both approaches, we ensure robustness in the analysis and a more comprehensive understanding of the risk factors associated with bladder cancer recurrence.</w:t>
      </w:r>
    </w:p>
    <w:p w14:paraId="064FD0CF" w14:textId="77777777" w:rsidR="008313DC" w:rsidRPr="008313DC" w:rsidRDefault="008313DC" w:rsidP="008313DC">
      <w:pPr>
        <w:spacing w:line="480" w:lineRule="auto"/>
        <w:rPr>
          <w:rFonts w:cstheme="minorHAnsi"/>
          <w:b/>
          <w:bCs/>
          <w:sz w:val="28"/>
          <w:szCs w:val="28"/>
        </w:rPr>
      </w:pPr>
      <w:r w:rsidRPr="008313DC">
        <w:rPr>
          <w:rFonts w:cstheme="minorHAnsi"/>
          <w:b/>
          <w:bCs/>
          <w:sz w:val="28"/>
          <w:szCs w:val="28"/>
        </w:rPr>
        <w:t>Conclusion</w:t>
      </w:r>
    </w:p>
    <w:p w14:paraId="3F0A40E2" w14:textId="77777777" w:rsidR="008313DC" w:rsidRPr="008313DC" w:rsidRDefault="008313DC" w:rsidP="008313DC">
      <w:pPr>
        <w:spacing w:line="480" w:lineRule="auto"/>
        <w:rPr>
          <w:rFonts w:cstheme="minorHAnsi"/>
          <w:sz w:val="24"/>
          <w:szCs w:val="24"/>
        </w:rPr>
      </w:pPr>
      <w:r w:rsidRPr="008313DC">
        <w:rPr>
          <w:rFonts w:cstheme="minorHAnsi"/>
          <w:sz w:val="24"/>
          <w:szCs w:val="24"/>
        </w:rPr>
        <w:t xml:space="preserve">This study found that thiotepa treatment significantly reduces the risk of bladder cancer recurrence, aligning with prior studies on its efficacy. Tumor number was a strong predictor of recurrence risk, confirming the importance of tumor burden, as highlighted in EAU guidelines. Tumor size, however, did not show a significant effect. The strengths of this study include the </w:t>
      </w:r>
      <w:r w:rsidRPr="008313DC">
        <w:rPr>
          <w:rFonts w:cstheme="minorHAnsi"/>
          <w:sz w:val="24"/>
          <w:szCs w:val="24"/>
        </w:rPr>
        <w:lastRenderedPageBreak/>
        <w:t>use of real patient data, application of multiple survival models, and validation with prior research. Limitations include limited covariates, data restricted to up to four recurrences, and lack of external validation.</w:t>
      </w:r>
    </w:p>
    <w:p w14:paraId="0767F3F9" w14:textId="77777777" w:rsidR="008313DC" w:rsidRPr="008313DC" w:rsidRDefault="008313DC" w:rsidP="008313DC">
      <w:pPr>
        <w:spacing w:line="480" w:lineRule="auto"/>
        <w:rPr>
          <w:rFonts w:cstheme="minorHAnsi"/>
          <w:b/>
          <w:bCs/>
          <w:sz w:val="28"/>
          <w:szCs w:val="28"/>
        </w:rPr>
      </w:pPr>
      <w:r w:rsidRPr="008313DC">
        <w:rPr>
          <w:rFonts w:cstheme="minorHAnsi"/>
          <w:b/>
          <w:bCs/>
          <w:sz w:val="28"/>
          <w:szCs w:val="28"/>
        </w:rPr>
        <w:t>Future Directions and Clinical Implications</w:t>
      </w:r>
    </w:p>
    <w:p w14:paraId="3A075114" w14:textId="6098F227" w:rsidR="008313DC" w:rsidRDefault="008313DC" w:rsidP="008313DC">
      <w:pPr>
        <w:spacing w:line="480" w:lineRule="auto"/>
        <w:rPr>
          <w:rFonts w:cstheme="minorHAnsi"/>
          <w:sz w:val="24"/>
          <w:szCs w:val="24"/>
        </w:rPr>
      </w:pPr>
      <w:r w:rsidRPr="008313DC">
        <w:rPr>
          <w:rFonts w:cstheme="minorHAnsi"/>
          <w:sz w:val="24"/>
          <w:szCs w:val="24"/>
        </w:rPr>
        <w:t xml:space="preserve">Further research should explore larger and more diverse cohorts with additional clinical variables such as tumor grade, genetic markers, and patient lifestyle factors (e.g., smoking status) to improve prediction accuracy. Long-term follow-up beyond four recurrences would enhance modeling and help refine treatment plans. Integrating </w:t>
      </w:r>
      <w:r w:rsidR="001F6910">
        <w:rPr>
          <w:rFonts w:cstheme="minorHAnsi"/>
          <w:sz w:val="24"/>
          <w:szCs w:val="24"/>
        </w:rPr>
        <w:t xml:space="preserve">different approaches such as </w:t>
      </w:r>
      <w:r w:rsidRPr="008313DC">
        <w:rPr>
          <w:rFonts w:cstheme="minorHAnsi"/>
          <w:sz w:val="24"/>
          <w:szCs w:val="24"/>
        </w:rPr>
        <w:t>machine learning may also identify patterns in recurrence risk. Clinically, these findings support a more personalized approach to bladder cancer management, where high-risk individuals can be stratified for more intensive surveillance and early therapeutic intervention, ultimately reducing disease burden and improving patient outcomes.</w:t>
      </w:r>
    </w:p>
    <w:p w14:paraId="0AFD8821" w14:textId="77777777" w:rsidR="001F6910" w:rsidRDefault="001F6910" w:rsidP="008313DC">
      <w:pPr>
        <w:spacing w:line="480" w:lineRule="auto"/>
        <w:rPr>
          <w:rFonts w:cstheme="minorHAnsi"/>
          <w:sz w:val="24"/>
          <w:szCs w:val="24"/>
        </w:rPr>
      </w:pPr>
    </w:p>
    <w:p w14:paraId="587CDD5F" w14:textId="77777777" w:rsidR="001F6910" w:rsidRDefault="001F6910" w:rsidP="008313DC">
      <w:pPr>
        <w:spacing w:line="480" w:lineRule="auto"/>
        <w:rPr>
          <w:rFonts w:cstheme="minorHAnsi"/>
          <w:sz w:val="24"/>
          <w:szCs w:val="24"/>
        </w:rPr>
      </w:pPr>
    </w:p>
    <w:p w14:paraId="072B1D11" w14:textId="77777777" w:rsidR="001F6910" w:rsidRDefault="001F6910" w:rsidP="008313DC">
      <w:pPr>
        <w:spacing w:line="480" w:lineRule="auto"/>
        <w:rPr>
          <w:rFonts w:cstheme="minorHAnsi"/>
          <w:sz w:val="24"/>
          <w:szCs w:val="24"/>
        </w:rPr>
      </w:pPr>
    </w:p>
    <w:p w14:paraId="4C019831" w14:textId="77777777" w:rsidR="001F6910" w:rsidRDefault="001F6910" w:rsidP="008313DC">
      <w:pPr>
        <w:spacing w:line="480" w:lineRule="auto"/>
        <w:rPr>
          <w:rFonts w:cstheme="minorHAnsi"/>
          <w:sz w:val="24"/>
          <w:szCs w:val="24"/>
        </w:rPr>
      </w:pPr>
    </w:p>
    <w:p w14:paraId="347E5BA3" w14:textId="77777777" w:rsidR="001F6910" w:rsidRDefault="001F6910" w:rsidP="008313DC">
      <w:pPr>
        <w:spacing w:line="480" w:lineRule="auto"/>
        <w:rPr>
          <w:rFonts w:cstheme="minorHAnsi"/>
          <w:sz w:val="24"/>
          <w:szCs w:val="24"/>
        </w:rPr>
      </w:pPr>
    </w:p>
    <w:p w14:paraId="4393E52D" w14:textId="77777777" w:rsidR="001F6910" w:rsidRDefault="001F6910" w:rsidP="008313DC">
      <w:pPr>
        <w:spacing w:line="480" w:lineRule="auto"/>
        <w:rPr>
          <w:rFonts w:cstheme="minorHAnsi"/>
          <w:sz w:val="24"/>
          <w:szCs w:val="24"/>
        </w:rPr>
      </w:pPr>
    </w:p>
    <w:p w14:paraId="4CA43709" w14:textId="77777777" w:rsidR="001F6910" w:rsidRPr="008313DC" w:rsidRDefault="001F6910" w:rsidP="008313DC">
      <w:pPr>
        <w:spacing w:line="480" w:lineRule="auto"/>
        <w:rPr>
          <w:rFonts w:cstheme="minorHAnsi"/>
          <w:sz w:val="24"/>
          <w:szCs w:val="24"/>
        </w:rPr>
      </w:pPr>
    </w:p>
    <w:p w14:paraId="45BE39E4" w14:textId="4536EB86" w:rsidR="008313DC" w:rsidRPr="001F6910" w:rsidRDefault="001F6910" w:rsidP="008313DC">
      <w:pPr>
        <w:spacing w:line="480" w:lineRule="auto"/>
        <w:rPr>
          <w:rFonts w:cstheme="minorHAnsi"/>
          <w:b/>
          <w:bCs/>
          <w:sz w:val="28"/>
          <w:szCs w:val="28"/>
          <w:u w:val="single"/>
        </w:rPr>
      </w:pPr>
      <w:r>
        <w:rPr>
          <w:rFonts w:cstheme="minorHAnsi"/>
          <w:sz w:val="24"/>
          <w:szCs w:val="24"/>
        </w:rPr>
        <w:lastRenderedPageBreak/>
        <w:t xml:space="preserve">                                                                 </w:t>
      </w:r>
      <w:r w:rsidRPr="001F6910">
        <w:rPr>
          <w:rFonts w:cstheme="minorHAnsi"/>
          <w:sz w:val="28"/>
          <w:szCs w:val="28"/>
        </w:rPr>
        <w:t xml:space="preserve"> </w:t>
      </w:r>
      <w:r w:rsidR="008313DC" w:rsidRPr="008313DC">
        <w:rPr>
          <w:rFonts w:cstheme="minorHAnsi"/>
          <w:b/>
          <w:bCs/>
          <w:sz w:val="28"/>
          <w:szCs w:val="28"/>
          <w:u w:val="single"/>
        </w:rPr>
        <w:t>References</w:t>
      </w:r>
    </w:p>
    <w:p w14:paraId="13B225DA" w14:textId="77777777" w:rsidR="001F6910" w:rsidRPr="008313DC" w:rsidRDefault="001F6910" w:rsidP="008313DC">
      <w:pPr>
        <w:spacing w:line="480" w:lineRule="auto"/>
        <w:rPr>
          <w:rFonts w:cstheme="minorHAnsi"/>
          <w:b/>
          <w:bCs/>
          <w:sz w:val="24"/>
          <w:szCs w:val="24"/>
          <w:u w:val="single"/>
        </w:rPr>
      </w:pPr>
    </w:p>
    <w:p w14:paraId="2DBFC090" w14:textId="77777777" w:rsidR="008313DC" w:rsidRPr="008313DC" w:rsidRDefault="008313DC" w:rsidP="008313DC">
      <w:pPr>
        <w:spacing w:line="480" w:lineRule="auto"/>
        <w:rPr>
          <w:rFonts w:cstheme="minorHAnsi"/>
          <w:sz w:val="24"/>
          <w:szCs w:val="24"/>
        </w:rPr>
      </w:pPr>
      <w:r w:rsidRPr="008313DC">
        <w:rPr>
          <w:rFonts w:cstheme="minorHAnsi"/>
          <w:sz w:val="24"/>
          <w:szCs w:val="24"/>
        </w:rPr>
        <w:t xml:space="preserve">Kamat, A. M., Hahn, N. M., Efstathiou, J. A., Lerner, S. P., </w:t>
      </w:r>
      <w:proofErr w:type="spellStart"/>
      <w:r w:rsidRPr="008313DC">
        <w:rPr>
          <w:rFonts w:cstheme="minorHAnsi"/>
          <w:sz w:val="24"/>
          <w:szCs w:val="24"/>
        </w:rPr>
        <w:t>Malats</w:t>
      </w:r>
      <w:proofErr w:type="spellEnd"/>
      <w:r w:rsidRPr="008313DC">
        <w:rPr>
          <w:rFonts w:cstheme="minorHAnsi"/>
          <w:sz w:val="24"/>
          <w:szCs w:val="24"/>
        </w:rPr>
        <w:t xml:space="preserve">, N., Choi, W., Lotan, Y., &amp; Shariat, S. F. (2016). Bladder cancer. </w:t>
      </w:r>
      <w:r w:rsidRPr="008313DC">
        <w:rPr>
          <w:rFonts w:cstheme="minorHAnsi"/>
          <w:i/>
          <w:iCs/>
          <w:sz w:val="24"/>
          <w:szCs w:val="24"/>
        </w:rPr>
        <w:t>The Lancet</w:t>
      </w:r>
      <w:r w:rsidRPr="008313DC">
        <w:rPr>
          <w:rFonts w:cstheme="minorHAnsi"/>
          <w:sz w:val="24"/>
          <w:szCs w:val="24"/>
        </w:rPr>
        <w:t>, 388(10061), 2796–2810. https://doi.org/10.1016/S0140-6736(16)30561-4</w:t>
      </w:r>
    </w:p>
    <w:p w14:paraId="304B1AE5" w14:textId="77777777" w:rsidR="008313DC" w:rsidRPr="008313DC" w:rsidRDefault="008313DC" w:rsidP="008313DC">
      <w:pPr>
        <w:spacing w:line="480" w:lineRule="auto"/>
        <w:rPr>
          <w:rFonts w:cstheme="minorHAnsi"/>
          <w:sz w:val="24"/>
          <w:szCs w:val="24"/>
        </w:rPr>
      </w:pPr>
      <w:r w:rsidRPr="008313DC">
        <w:rPr>
          <w:rFonts w:cstheme="minorHAnsi"/>
          <w:sz w:val="24"/>
          <w:szCs w:val="24"/>
        </w:rPr>
        <w:t xml:space="preserve">Sylvester, R. J., Van der </w:t>
      </w:r>
      <w:proofErr w:type="spellStart"/>
      <w:r w:rsidRPr="008313DC">
        <w:rPr>
          <w:rFonts w:cstheme="minorHAnsi"/>
          <w:sz w:val="24"/>
          <w:szCs w:val="24"/>
        </w:rPr>
        <w:t>Meijden</w:t>
      </w:r>
      <w:proofErr w:type="spellEnd"/>
      <w:r w:rsidRPr="008313DC">
        <w:rPr>
          <w:rFonts w:cstheme="minorHAnsi"/>
          <w:sz w:val="24"/>
          <w:szCs w:val="24"/>
        </w:rPr>
        <w:t xml:space="preserve">, A. P., </w:t>
      </w:r>
      <w:proofErr w:type="spellStart"/>
      <w:r w:rsidRPr="008313DC">
        <w:rPr>
          <w:rFonts w:cstheme="minorHAnsi"/>
          <w:sz w:val="24"/>
          <w:szCs w:val="24"/>
        </w:rPr>
        <w:t>Oosterlinck</w:t>
      </w:r>
      <w:proofErr w:type="spellEnd"/>
      <w:r w:rsidRPr="008313DC">
        <w:rPr>
          <w:rFonts w:cstheme="minorHAnsi"/>
          <w:sz w:val="24"/>
          <w:szCs w:val="24"/>
        </w:rPr>
        <w:t xml:space="preserve">, W., </w:t>
      </w:r>
      <w:proofErr w:type="spellStart"/>
      <w:r w:rsidRPr="008313DC">
        <w:rPr>
          <w:rFonts w:cstheme="minorHAnsi"/>
          <w:sz w:val="24"/>
          <w:szCs w:val="24"/>
        </w:rPr>
        <w:t>Witjes</w:t>
      </w:r>
      <w:proofErr w:type="spellEnd"/>
      <w:r w:rsidRPr="008313DC">
        <w:rPr>
          <w:rFonts w:cstheme="minorHAnsi"/>
          <w:sz w:val="24"/>
          <w:szCs w:val="24"/>
        </w:rPr>
        <w:t xml:space="preserve">, J. A., </w:t>
      </w:r>
      <w:proofErr w:type="spellStart"/>
      <w:r w:rsidRPr="008313DC">
        <w:rPr>
          <w:rFonts w:cstheme="minorHAnsi"/>
          <w:sz w:val="24"/>
          <w:szCs w:val="24"/>
        </w:rPr>
        <w:t>Bouffioux</w:t>
      </w:r>
      <w:proofErr w:type="spellEnd"/>
      <w:r w:rsidRPr="008313DC">
        <w:rPr>
          <w:rFonts w:cstheme="minorHAnsi"/>
          <w:sz w:val="24"/>
          <w:szCs w:val="24"/>
        </w:rPr>
        <w:t xml:space="preserve">, C., Denis, L., &amp; Kurth, K. H. (2006). Predicting recurrence and progression in individual patients with stage Ta T1 bladder cancer using EORTC risk tables. </w:t>
      </w:r>
      <w:r w:rsidRPr="008313DC">
        <w:rPr>
          <w:rFonts w:cstheme="minorHAnsi"/>
          <w:i/>
          <w:iCs/>
          <w:sz w:val="24"/>
          <w:szCs w:val="24"/>
        </w:rPr>
        <w:t>European Urology</w:t>
      </w:r>
      <w:r w:rsidRPr="008313DC">
        <w:rPr>
          <w:rFonts w:cstheme="minorHAnsi"/>
          <w:sz w:val="24"/>
          <w:szCs w:val="24"/>
        </w:rPr>
        <w:t>, 49(3), 466–475. https://doi.org/10.1016/j.eururo.2005.12.031</w:t>
      </w:r>
    </w:p>
    <w:p w14:paraId="4C53A113" w14:textId="77777777" w:rsidR="008313DC" w:rsidRPr="008313DC" w:rsidRDefault="008313DC" w:rsidP="008313DC">
      <w:pPr>
        <w:spacing w:line="480" w:lineRule="auto"/>
        <w:rPr>
          <w:rFonts w:cstheme="minorHAnsi"/>
          <w:sz w:val="24"/>
          <w:szCs w:val="24"/>
        </w:rPr>
      </w:pPr>
      <w:proofErr w:type="spellStart"/>
      <w:r w:rsidRPr="008313DC">
        <w:rPr>
          <w:rFonts w:cstheme="minorHAnsi"/>
          <w:sz w:val="24"/>
          <w:szCs w:val="24"/>
        </w:rPr>
        <w:t>Babjuk</w:t>
      </w:r>
      <w:proofErr w:type="spellEnd"/>
      <w:r w:rsidRPr="008313DC">
        <w:rPr>
          <w:rFonts w:cstheme="minorHAnsi"/>
          <w:sz w:val="24"/>
          <w:szCs w:val="24"/>
        </w:rPr>
        <w:t xml:space="preserve">, M., Burger, M., </w:t>
      </w:r>
      <w:proofErr w:type="spellStart"/>
      <w:r w:rsidRPr="008313DC">
        <w:rPr>
          <w:rFonts w:cstheme="minorHAnsi"/>
          <w:sz w:val="24"/>
          <w:szCs w:val="24"/>
        </w:rPr>
        <w:t>Compérat</w:t>
      </w:r>
      <w:proofErr w:type="spellEnd"/>
      <w:r w:rsidRPr="008313DC">
        <w:rPr>
          <w:rFonts w:cstheme="minorHAnsi"/>
          <w:sz w:val="24"/>
          <w:szCs w:val="24"/>
        </w:rPr>
        <w:t xml:space="preserve">, E. M., </w:t>
      </w:r>
      <w:proofErr w:type="spellStart"/>
      <w:r w:rsidRPr="008313DC">
        <w:rPr>
          <w:rFonts w:cstheme="minorHAnsi"/>
          <w:sz w:val="24"/>
          <w:szCs w:val="24"/>
        </w:rPr>
        <w:t>Gontero</w:t>
      </w:r>
      <w:proofErr w:type="spellEnd"/>
      <w:r w:rsidRPr="008313DC">
        <w:rPr>
          <w:rFonts w:cstheme="minorHAnsi"/>
          <w:sz w:val="24"/>
          <w:szCs w:val="24"/>
        </w:rPr>
        <w:t xml:space="preserve">, P., Liedberg, F., Masson-Lecomte, A., &amp; Shariat, S. F. (2022). EAU guidelines on non-muscle-invasive bladder cancer (Ta, T1 and CIS). </w:t>
      </w:r>
      <w:r w:rsidRPr="008313DC">
        <w:rPr>
          <w:rFonts w:cstheme="minorHAnsi"/>
          <w:i/>
          <w:iCs/>
          <w:sz w:val="24"/>
          <w:szCs w:val="24"/>
        </w:rPr>
        <w:t>European Urology</w:t>
      </w:r>
      <w:r w:rsidRPr="008313DC">
        <w:rPr>
          <w:rFonts w:cstheme="minorHAnsi"/>
          <w:sz w:val="24"/>
          <w:szCs w:val="24"/>
        </w:rPr>
        <w:t>, 81(1), 75–94. https://doi.org/10.1016/j.eururo.2021.10.013</w:t>
      </w:r>
    </w:p>
    <w:p w14:paraId="3F574698" w14:textId="77777777" w:rsidR="008313DC" w:rsidRPr="008313DC" w:rsidRDefault="008313DC" w:rsidP="008313DC">
      <w:pPr>
        <w:spacing w:line="480" w:lineRule="auto"/>
        <w:rPr>
          <w:rFonts w:cstheme="minorHAnsi"/>
          <w:sz w:val="24"/>
          <w:szCs w:val="24"/>
        </w:rPr>
      </w:pPr>
      <w:r w:rsidRPr="008313DC">
        <w:rPr>
          <w:rFonts w:cstheme="minorHAnsi"/>
          <w:sz w:val="24"/>
          <w:szCs w:val="24"/>
        </w:rPr>
        <w:t xml:space="preserve">Cambier, S., Sylvester, R. J., Collette, L., </w:t>
      </w:r>
      <w:proofErr w:type="spellStart"/>
      <w:r w:rsidRPr="008313DC">
        <w:rPr>
          <w:rFonts w:cstheme="minorHAnsi"/>
          <w:sz w:val="24"/>
          <w:szCs w:val="24"/>
        </w:rPr>
        <w:t>Gontero</w:t>
      </w:r>
      <w:proofErr w:type="spellEnd"/>
      <w:r w:rsidRPr="008313DC">
        <w:rPr>
          <w:rFonts w:cstheme="minorHAnsi"/>
          <w:sz w:val="24"/>
          <w:szCs w:val="24"/>
        </w:rPr>
        <w:t xml:space="preserve">, P., </w:t>
      </w:r>
      <w:proofErr w:type="spellStart"/>
      <w:r w:rsidRPr="008313DC">
        <w:rPr>
          <w:rFonts w:cstheme="minorHAnsi"/>
          <w:sz w:val="24"/>
          <w:szCs w:val="24"/>
        </w:rPr>
        <w:t>Brausi</w:t>
      </w:r>
      <w:proofErr w:type="spellEnd"/>
      <w:r w:rsidRPr="008313DC">
        <w:rPr>
          <w:rFonts w:cstheme="minorHAnsi"/>
          <w:sz w:val="24"/>
          <w:szCs w:val="24"/>
        </w:rPr>
        <w:t xml:space="preserve">, M. A., van Andel, G., ... &amp; </w:t>
      </w:r>
      <w:proofErr w:type="spellStart"/>
      <w:r w:rsidRPr="008313DC">
        <w:rPr>
          <w:rFonts w:cstheme="minorHAnsi"/>
          <w:sz w:val="24"/>
          <w:szCs w:val="24"/>
        </w:rPr>
        <w:t>Witjes</w:t>
      </w:r>
      <w:proofErr w:type="spellEnd"/>
      <w:r w:rsidRPr="008313DC">
        <w:rPr>
          <w:rFonts w:cstheme="minorHAnsi"/>
          <w:sz w:val="24"/>
          <w:szCs w:val="24"/>
        </w:rPr>
        <w:t xml:space="preserve">, J. A. (2016). EORTC nomograms and risk groups for predicting recurrence, progression, and disease-specific and overall survival in non–muscle-invasive stage Ta–T1 urothelial bladder cancer patients treated with 1–3 years of maintenance Bacillus Calmette–Guérin. </w:t>
      </w:r>
      <w:r w:rsidRPr="008313DC">
        <w:rPr>
          <w:rFonts w:cstheme="minorHAnsi"/>
          <w:i/>
          <w:iCs/>
          <w:sz w:val="24"/>
          <w:szCs w:val="24"/>
        </w:rPr>
        <w:t>European Urology</w:t>
      </w:r>
      <w:r w:rsidRPr="008313DC">
        <w:rPr>
          <w:rFonts w:cstheme="minorHAnsi"/>
          <w:sz w:val="24"/>
          <w:szCs w:val="24"/>
        </w:rPr>
        <w:t>, 69(1), 60–69.</w:t>
      </w:r>
    </w:p>
    <w:p w14:paraId="123C1641" w14:textId="77777777" w:rsidR="008313DC" w:rsidRPr="008313DC" w:rsidRDefault="008313DC" w:rsidP="008313DC">
      <w:pPr>
        <w:spacing w:line="480" w:lineRule="auto"/>
        <w:rPr>
          <w:rFonts w:cstheme="minorHAnsi"/>
          <w:sz w:val="24"/>
          <w:szCs w:val="24"/>
        </w:rPr>
      </w:pPr>
      <w:r w:rsidRPr="008313DC">
        <w:rPr>
          <w:rFonts w:cstheme="minorHAnsi"/>
          <w:sz w:val="24"/>
          <w:szCs w:val="24"/>
        </w:rPr>
        <w:t xml:space="preserve">Herr, H. W. (2001). Tumor progression and survival of patients with high grade, noninvasive papillary (TaG3) bladder tumors: 15-year outcome. </w:t>
      </w:r>
      <w:r w:rsidRPr="008313DC">
        <w:rPr>
          <w:rFonts w:cstheme="minorHAnsi"/>
          <w:i/>
          <w:iCs/>
          <w:sz w:val="24"/>
          <w:szCs w:val="24"/>
        </w:rPr>
        <w:t>Journal of Urology</w:t>
      </w:r>
      <w:r w:rsidRPr="008313DC">
        <w:rPr>
          <w:rFonts w:cstheme="minorHAnsi"/>
          <w:sz w:val="24"/>
          <w:szCs w:val="24"/>
        </w:rPr>
        <w:t>, 165(4), 1120–1123.</w:t>
      </w:r>
    </w:p>
    <w:p w14:paraId="262E77B5" w14:textId="77777777" w:rsidR="008313DC" w:rsidRPr="008313DC" w:rsidRDefault="008313DC" w:rsidP="008313DC">
      <w:pPr>
        <w:spacing w:line="480" w:lineRule="auto"/>
        <w:rPr>
          <w:rFonts w:cstheme="minorHAnsi"/>
          <w:sz w:val="24"/>
          <w:szCs w:val="24"/>
        </w:rPr>
      </w:pPr>
      <w:r w:rsidRPr="008313DC">
        <w:rPr>
          <w:rFonts w:cstheme="minorHAnsi"/>
          <w:sz w:val="24"/>
          <w:szCs w:val="24"/>
        </w:rPr>
        <w:lastRenderedPageBreak/>
        <w:t xml:space="preserve">Kaufman, D. S., Shipley, W. U., &amp; Feldman, A. S. (2009). Bladder cancer. </w:t>
      </w:r>
      <w:r w:rsidRPr="008313DC">
        <w:rPr>
          <w:rFonts w:cstheme="minorHAnsi"/>
          <w:i/>
          <w:iCs/>
          <w:sz w:val="24"/>
          <w:szCs w:val="24"/>
        </w:rPr>
        <w:t>The Lancet</w:t>
      </w:r>
      <w:r w:rsidRPr="008313DC">
        <w:rPr>
          <w:rFonts w:cstheme="minorHAnsi"/>
          <w:sz w:val="24"/>
          <w:szCs w:val="24"/>
        </w:rPr>
        <w:t>, 374(9685), 239–249. https://doi.org/10.1016/S0140-6736(09)60491-8</w:t>
      </w:r>
    </w:p>
    <w:p w14:paraId="42CF6866" w14:textId="77777777" w:rsidR="00D27765" w:rsidRPr="008313DC" w:rsidRDefault="00D27765" w:rsidP="008313DC">
      <w:pPr>
        <w:spacing w:line="480" w:lineRule="auto"/>
        <w:rPr>
          <w:rFonts w:cstheme="minorHAnsi"/>
          <w:sz w:val="24"/>
          <w:szCs w:val="24"/>
        </w:rPr>
      </w:pPr>
    </w:p>
    <w:sectPr w:rsidR="00D27765" w:rsidRPr="0083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9A"/>
    <w:rsid w:val="0011733D"/>
    <w:rsid w:val="0013789B"/>
    <w:rsid w:val="001F6910"/>
    <w:rsid w:val="00331B65"/>
    <w:rsid w:val="003630D2"/>
    <w:rsid w:val="004E2A2C"/>
    <w:rsid w:val="004E491B"/>
    <w:rsid w:val="008313DC"/>
    <w:rsid w:val="008C429A"/>
    <w:rsid w:val="00B811B2"/>
    <w:rsid w:val="00D27765"/>
    <w:rsid w:val="00E9489D"/>
    <w:rsid w:val="00F667CD"/>
    <w:rsid w:val="00FF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B594"/>
  <w15:chartTrackingRefBased/>
  <w15:docId w15:val="{FA575280-1809-424F-8689-86B16299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2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2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42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2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2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2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2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2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2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29A"/>
    <w:rPr>
      <w:rFonts w:eastAsiaTheme="majorEastAsia" w:cstheme="majorBidi"/>
      <w:color w:val="272727" w:themeColor="text1" w:themeTint="D8"/>
    </w:rPr>
  </w:style>
  <w:style w:type="paragraph" w:styleId="Title">
    <w:name w:val="Title"/>
    <w:basedOn w:val="Normal"/>
    <w:next w:val="Normal"/>
    <w:link w:val="TitleChar"/>
    <w:uiPriority w:val="10"/>
    <w:qFormat/>
    <w:rsid w:val="008C4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29A"/>
    <w:pPr>
      <w:spacing w:before="160"/>
      <w:jc w:val="center"/>
    </w:pPr>
    <w:rPr>
      <w:i/>
      <w:iCs/>
      <w:color w:val="404040" w:themeColor="text1" w:themeTint="BF"/>
    </w:rPr>
  </w:style>
  <w:style w:type="character" w:customStyle="1" w:styleId="QuoteChar">
    <w:name w:val="Quote Char"/>
    <w:basedOn w:val="DefaultParagraphFont"/>
    <w:link w:val="Quote"/>
    <w:uiPriority w:val="29"/>
    <w:rsid w:val="008C429A"/>
    <w:rPr>
      <w:i/>
      <w:iCs/>
      <w:color w:val="404040" w:themeColor="text1" w:themeTint="BF"/>
    </w:rPr>
  </w:style>
  <w:style w:type="paragraph" w:styleId="ListParagraph">
    <w:name w:val="List Paragraph"/>
    <w:basedOn w:val="Normal"/>
    <w:uiPriority w:val="34"/>
    <w:qFormat/>
    <w:rsid w:val="008C429A"/>
    <w:pPr>
      <w:ind w:left="720"/>
      <w:contextualSpacing/>
    </w:pPr>
  </w:style>
  <w:style w:type="character" w:styleId="IntenseEmphasis">
    <w:name w:val="Intense Emphasis"/>
    <w:basedOn w:val="DefaultParagraphFont"/>
    <w:uiPriority w:val="21"/>
    <w:qFormat/>
    <w:rsid w:val="008C429A"/>
    <w:rPr>
      <w:i/>
      <w:iCs/>
      <w:color w:val="2F5496" w:themeColor="accent1" w:themeShade="BF"/>
    </w:rPr>
  </w:style>
  <w:style w:type="paragraph" w:styleId="IntenseQuote">
    <w:name w:val="Intense Quote"/>
    <w:basedOn w:val="Normal"/>
    <w:next w:val="Normal"/>
    <w:link w:val="IntenseQuoteChar"/>
    <w:uiPriority w:val="30"/>
    <w:qFormat/>
    <w:rsid w:val="008C42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29A"/>
    <w:rPr>
      <w:i/>
      <w:iCs/>
      <w:color w:val="2F5496" w:themeColor="accent1" w:themeShade="BF"/>
    </w:rPr>
  </w:style>
  <w:style w:type="character" w:styleId="IntenseReference">
    <w:name w:val="Intense Reference"/>
    <w:basedOn w:val="DefaultParagraphFont"/>
    <w:uiPriority w:val="32"/>
    <w:qFormat/>
    <w:rsid w:val="008C429A"/>
    <w:rPr>
      <w:b/>
      <w:bCs/>
      <w:smallCaps/>
      <w:color w:val="2F5496" w:themeColor="accent1" w:themeShade="BF"/>
      <w:spacing w:val="5"/>
    </w:rPr>
  </w:style>
  <w:style w:type="character" w:styleId="Hyperlink">
    <w:name w:val="Hyperlink"/>
    <w:basedOn w:val="DefaultParagraphFont"/>
    <w:uiPriority w:val="99"/>
    <w:unhideWhenUsed/>
    <w:rsid w:val="008C429A"/>
    <w:rPr>
      <w:color w:val="0563C1" w:themeColor="hyperlink"/>
      <w:u w:val="single"/>
    </w:rPr>
  </w:style>
  <w:style w:type="character" w:styleId="UnresolvedMention">
    <w:name w:val="Unresolved Mention"/>
    <w:basedOn w:val="DefaultParagraphFont"/>
    <w:uiPriority w:val="99"/>
    <w:semiHidden/>
    <w:unhideWhenUsed/>
    <w:rsid w:val="008C429A"/>
    <w:rPr>
      <w:color w:val="605E5C"/>
      <w:shd w:val="clear" w:color="auto" w:fill="E1DFDD"/>
    </w:rPr>
  </w:style>
  <w:style w:type="table" w:styleId="GridTable1Light">
    <w:name w:val="Grid Table 1 Light"/>
    <w:basedOn w:val="TableNormal"/>
    <w:uiPriority w:val="46"/>
    <w:rsid w:val="001378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378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89144">
      <w:bodyDiv w:val="1"/>
      <w:marLeft w:val="0"/>
      <w:marRight w:val="0"/>
      <w:marTop w:val="0"/>
      <w:marBottom w:val="0"/>
      <w:divBdr>
        <w:top w:val="none" w:sz="0" w:space="0" w:color="auto"/>
        <w:left w:val="none" w:sz="0" w:space="0" w:color="auto"/>
        <w:bottom w:val="none" w:sz="0" w:space="0" w:color="auto"/>
        <w:right w:val="none" w:sz="0" w:space="0" w:color="auto"/>
      </w:divBdr>
    </w:div>
    <w:div w:id="350451178">
      <w:bodyDiv w:val="1"/>
      <w:marLeft w:val="0"/>
      <w:marRight w:val="0"/>
      <w:marTop w:val="0"/>
      <w:marBottom w:val="0"/>
      <w:divBdr>
        <w:top w:val="none" w:sz="0" w:space="0" w:color="auto"/>
        <w:left w:val="none" w:sz="0" w:space="0" w:color="auto"/>
        <w:bottom w:val="none" w:sz="0" w:space="0" w:color="auto"/>
        <w:right w:val="none" w:sz="0" w:space="0" w:color="auto"/>
      </w:divBdr>
    </w:div>
    <w:div w:id="521675198">
      <w:bodyDiv w:val="1"/>
      <w:marLeft w:val="0"/>
      <w:marRight w:val="0"/>
      <w:marTop w:val="0"/>
      <w:marBottom w:val="0"/>
      <w:divBdr>
        <w:top w:val="none" w:sz="0" w:space="0" w:color="auto"/>
        <w:left w:val="none" w:sz="0" w:space="0" w:color="auto"/>
        <w:bottom w:val="none" w:sz="0" w:space="0" w:color="auto"/>
        <w:right w:val="none" w:sz="0" w:space="0" w:color="auto"/>
      </w:divBdr>
    </w:div>
    <w:div w:id="837692079">
      <w:bodyDiv w:val="1"/>
      <w:marLeft w:val="0"/>
      <w:marRight w:val="0"/>
      <w:marTop w:val="0"/>
      <w:marBottom w:val="0"/>
      <w:divBdr>
        <w:top w:val="none" w:sz="0" w:space="0" w:color="auto"/>
        <w:left w:val="none" w:sz="0" w:space="0" w:color="auto"/>
        <w:bottom w:val="none" w:sz="0" w:space="0" w:color="auto"/>
        <w:right w:val="none" w:sz="0" w:space="0" w:color="auto"/>
      </w:divBdr>
    </w:div>
    <w:div w:id="862085517">
      <w:bodyDiv w:val="1"/>
      <w:marLeft w:val="0"/>
      <w:marRight w:val="0"/>
      <w:marTop w:val="0"/>
      <w:marBottom w:val="0"/>
      <w:divBdr>
        <w:top w:val="none" w:sz="0" w:space="0" w:color="auto"/>
        <w:left w:val="none" w:sz="0" w:space="0" w:color="auto"/>
        <w:bottom w:val="none" w:sz="0" w:space="0" w:color="auto"/>
        <w:right w:val="none" w:sz="0" w:space="0" w:color="auto"/>
      </w:divBdr>
    </w:div>
    <w:div w:id="910237199">
      <w:bodyDiv w:val="1"/>
      <w:marLeft w:val="0"/>
      <w:marRight w:val="0"/>
      <w:marTop w:val="0"/>
      <w:marBottom w:val="0"/>
      <w:divBdr>
        <w:top w:val="none" w:sz="0" w:space="0" w:color="auto"/>
        <w:left w:val="none" w:sz="0" w:space="0" w:color="auto"/>
        <w:bottom w:val="none" w:sz="0" w:space="0" w:color="auto"/>
        <w:right w:val="none" w:sz="0" w:space="0" w:color="auto"/>
      </w:divBdr>
    </w:div>
    <w:div w:id="1002977373">
      <w:bodyDiv w:val="1"/>
      <w:marLeft w:val="0"/>
      <w:marRight w:val="0"/>
      <w:marTop w:val="0"/>
      <w:marBottom w:val="0"/>
      <w:divBdr>
        <w:top w:val="none" w:sz="0" w:space="0" w:color="auto"/>
        <w:left w:val="none" w:sz="0" w:space="0" w:color="auto"/>
        <w:bottom w:val="none" w:sz="0" w:space="0" w:color="auto"/>
        <w:right w:val="none" w:sz="0" w:space="0" w:color="auto"/>
      </w:divBdr>
    </w:div>
    <w:div w:id="1017198287">
      <w:bodyDiv w:val="1"/>
      <w:marLeft w:val="0"/>
      <w:marRight w:val="0"/>
      <w:marTop w:val="0"/>
      <w:marBottom w:val="0"/>
      <w:divBdr>
        <w:top w:val="none" w:sz="0" w:space="0" w:color="auto"/>
        <w:left w:val="none" w:sz="0" w:space="0" w:color="auto"/>
        <w:bottom w:val="none" w:sz="0" w:space="0" w:color="auto"/>
        <w:right w:val="none" w:sz="0" w:space="0" w:color="auto"/>
      </w:divBdr>
    </w:div>
    <w:div w:id="1136490407">
      <w:bodyDiv w:val="1"/>
      <w:marLeft w:val="0"/>
      <w:marRight w:val="0"/>
      <w:marTop w:val="0"/>
      <w:marBottom w:val="0"/>
      <w:divBdr>
        <w:top w:val="none" w:sz="0" w:space="0" w:color="auto"/>
        <w:left w:val="none" w:sz="0" w:space="0" w:color="auto"/>
        <w:bottom w:val="none" w:sz="0" w:space="0" w:color="auto"/>
        <w:right w:val="none" w:sz="0" w:space="0" w:color="auto"/>
      </w:divBdr>
    </w:div>
    <w:div w:id="1305813067">
      <w:bodyDiv w:val="1"/>
      <w:marLeft w:val="0"/>
      <w:marRight w:val="0"/>
      <w:marTop w:val="0"/>
      <w:marBottom w:val="0"/>
      <w:divBdr>
        <w:top w:val="none" w:sz="0" w:space="0" w:color="auto"/>
        <w:left w:val="none" w:sz="0" w:space="0" w:color="auto"/>
        <w:bottom w:val="none" w:sz="0" w:space="0" w:color="auto"/>
        <w:right w:val="none" w:sz="0" w:space="0" w:color="auto"/>
      </w:divBdr>
    </w:div>
    <w:div w:id="1468279492">
      <w:bodyDiv w:val="1"/>
      <w:marLeft w:val="0"/>
      <w:marRight w:val="0"/>
      <w:marTop w:val="0"/>
      <w:marBottom w:val="0"/>
      <w:divBdr>
        <w:top w:val="none" w:sz="0" w:space="0" w:color="auto"/>
        <w:left w:val="none" w:sz="0" w:space="0" w:color="auto"/>
        <w:bottom w:val="none" w:sz="0" w:space="0" w:color="auto"/>
        <w:right w:val="none" w:sz="0" w:space="0" w:color="auto"/>
      </w:divBdr>
    </w:div>
    <w:div w:id="1532764837">
      <w:bodyDiv w:val="1"/>
      <w:marLeft w:val="0"/>
      <w:marRight w:val="0"/>
      <w:marTop w:val="0"/>
      <w:marBottom w:val="0"/>
      <w:divBdr>
        <w:top w:val="none" w:sz="0" w:space="0" w:color="auto"/>
        <w:left w:val="none" w:sz="0" w:space="0" w:color="auto"/>
        <w:bottom w:val="none" w:sz="0" w:space="0" w:color="auto"/>
        <w:right w:val="none" w:sz="0" w:space="0" w:color="auto"/>
      </w:divBdr>
    </w:div>
    <w:div w:id="1598558331">
      <w:bodyDiv w:val="1"/>
      <w:marLeft w:val="0"/>
      <w:marRight w:val="0"/>
      <w:marTop w:val="0"/>
      <w:marBottom w:val="0"/>
      <w:divBdr>
        <w:top w:val="none" w:sz="0" w:space="0" w:color="auto"/>
        <w:left w:val="none" w:sz="0" w:space="0" w:color="auto"/>
        <w:bottom w:val="none" w:sz="0" w:space="0" w:color="auto"/>
        <w:right w:val="none" w:sz="0" w:space="0" w:color="auto"/>
      </w:divBdr>
    </w:div>
    <w:div w:id="1739325859">
      <w:bodyDiv w:val="1"/>
      <w:marLeft w:val="0"/>
      <w:marRight w:val="0"/>
      <w:marTop w:val="0"/>
      <w:marBottom w:val="0"/>
      <w:divBdr>
        <w:top w:val="none" w:sz="0" w:space="0" w:color="auto"/>
        <w:left w:val="none" w:sz="0" w:space="0" w:color="auto"/>
        <w:bottom w:val="none" w:sz="0" w:space="0" w:color="auto"/>
        <w:right w:val="none" w:sz="0" w:space="0" w:color="auto"/>
      </w:divBdr>
    </w:div>
    <w:div w:id="1889606713">
      <w:bodyDiv w:val="1"/>
      <w:marLeft w:val="0"/>
      <w:marRight w:val="0"/>
      <w:marTop w:val="0"/>
      <w:marBottom w:val="0"/>
      <w:divBdr>
        <w:top w:val="none" w:sz="0" w:space="0" w:color="auto"/>
        <w:left w:val="none" w:sz="0" w:space="0" w:color="auto"/>
        <w:bottom w:val="none" w:sz="0" w:space="0" w:color="auto"/>
        <w:right w:val="none" w:sz="0" w:space="0" w:color="auto"/>
      </w:divBdr>
    </w:div>
    <w:div w:id="1959407865">
      <w:bodyDiv w:val="1"/>
      <w:marLeft w:val="0"/>
      <w:marRight w:val="0"/>
      <w:marTop w:val="0"/>
      <w:marBottom w:val="0"/>
      <w:divBdr>
        <w:top w:val="none" w:sz="0" w:space="0" w:color="auto"/>
        <w:left w:val="none" w:sz="0" w:space="0" w:color="auto"/>
        <w:bottom w:val="none" w:sz="0" w:space="0" w:color="auto"/>
        <w:right w:val="none" w:sz="0" w:space="0" w:color="auto"/>
      </w:divBdr>
    </w:div>
    <w:div w:id="2122190043">
      <w:bodyDiv w:val="1"/>
      <w:marLeft w:val="0"/>
      <w:marRight w:val="0"/>
      <w:marTop w:val="0"/>
      <w:marBottom w:val="0"/>
      <w:divBdr>
        <w:top w:val="none" w:sz="0" w:space="0" w:color="auto"/>
        <w:left w:val="none" w:sz="0" w:space="0" w:color="auto"/>
        <w:bottom w:val="none" w:sz="0" w:space="0" w:color="auto"/>
        <w:right w:val="none" w:sz="0" w:space="0" w:color="auto"/>
      </w:divBdr>
    </w:div>
    <w:div w:id="214696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10</Pages>
  <Words>1664</Words>
  <Characters>9487</Characters>
  <Application>Microsoft Office Word</Application>
  <DocSecurity>0</DocSecurity>
  <Lines>79</Lines>
  <Paragraphs>22</Paragraphs>
  <ScaleCrop>false</ScaleCrop>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Gyimah, Kwaku</dc:creator>
  <cp:keywords/>
  <dc:description/>
  <cp:lastModifiedBy>Gyimah, Kwaku</cp:lastModifiedBy>
  <cp:revision>2</cp:revision>
  <dcterms:created xsi:type="dcterms:W3CDTF">2025-03-25T03:46:00Z</dcterms:created>
  <dcterms:modified xsi:type="dcterms:W3CDTF">2025-03-25T03:46:00Z</dcterms:modified>
</cp:coreProperties>
</file>