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240" w:lineRule="auto" w:after="0"/>
      </w:pPr>
      <w:r>
        <w:rPr>
          <w:rFonts w:ascii="Arial" w:hAnsi="Arial"/>
          <w:b/>
          <w:i/>
          <w:sz w:val="28"/>
          <w:u w:val="single"/>
        </w:rPr>
        <w:t>NATIONAL DEVELOPMENT PLANNING COMMISSION</w:t>
      </w:r>
      <w:r>
        <w:rPr>
          <w:rFonts w:ascii="Arial" w:hAnsi="Arial"/>
          <w:b/>
          <w:sz w:val="28"/>
          <w:u w:val="single"/>
        </w:rPr>
        <w:t>PUBLIC POLICY REVIEW ADVISORY</w:t>
      </w:r>
    </w:p>
    <w:p/>
    <w:p/>
    <w:p>
      <w:pPr>
        <w:jc w:val="both"/>
      </w:pPr>
      <w:r>
        <w:rPr>
          <w:rFonts w:ascii="Arial" w:hAnsi="Arial"/>
          <w:sz w:val="24"/>
        </w:rPr>
        <w:br/>
        <w:br/>
        <w:t>Yes, the policy document's Table of Content covers all necessary sections including Acknowledgements, Foreword/Preface, List of Tables and Figures, Acronyms, Executive Summary, Glossary, Introduction, Policy Context, Policy Framework, Strategies, Implementation Plan, Monitoring and Evaluation, and Communication Strategy. The policy document also includes all elements on the cover page as specified in the guidelines (Ghana Coat of Arms, institutional logo, name of institution, document title, effective date, and revised date).</w:t>
        <w:br/>
        <w:br/>
        <w:t>Compliant Sections: Acknowledgements, Foreword/Preface, List of Tables and Figures, Acronyms, Executive Summary, Glossary, Introduction, Policy Context, Policy Framework, Strategies, Implementation Plan, Monitoring and Evaluation, Communication Strategy, Cover Page.</w:t>
        <w:br/>
        <w:br/>
        <w:t>Non-Compliant Sections: None.</w:t>
        <w:br/>
        <w:br/>
        <w:t>Recommendation: The policy document is well-structured and covers all necessary sections. No improvements are needed.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