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A7C4E"/>
          <w:sz w:val="72"/>
          <w:szCs w:val="72"/>
        </w:rPr>
        <w:t xml:space="preserve">NOTHO</w:t>
      </w:r>
    </w:p>
    <w:p>
      <w:pPr>
        <w:spacing w:after="400" w:before="0"/>
        <w:jc w:val="center"/>
      </w:pPr>
      <w:r>
        <w:rPr>
          <w:rFonts w:ascii="Arial" w:cs="Arial" w:eastAsia="Arial" w:hAnsi="Arial"/>
          <w:b/>
          <w:bCs/>
          <w:color w:val="333333"/>
          <w:sz w:val="48"/>
          <w:szCs w:val="48"/>
        </w:rPr>
        <w:t xml:space="preserve">BUILD PLAYBOOK</w:t>
      </w:r>
    </w:p>
    <w:p>
      <w:pPr>
        <w:spacing w:after="200" w:before="200"/>
        <w:jc w:val="center"/>
      </w:pPr>
      <w:r>
        <w:rPr>
          <w:rFonts w:ascii="Arial" w:cs="Arial" w:eastAsia="Arial" w:hAnsi="Arial"/>
          <w:color w:val="555555"/>
          <w:sz w:val="26"/>
          <w:szCs w:val="26"/>
        </w:rPr>
        <w:t xml:space="preserve">Phase-by-Phase Prompt Guide, Checklists, and Standards</w:t>
      </w:r>
    </w:p>
    <w:p>
      <w:pPr>
        <w:spacing w:after="80" w:before="600"/>
        <w:jc w:val="center"/>
      </w:pPr>
      <w:r>
        <w:rPr>
          <w:rFonts w:ascii="Arial" w:cs="Arial" w:eastAsia="Arial" w:hAnsi="Arial"/>
          <w:color w:val="888888"/>
          <w:sz w:val="22"/>
          <w:szCs w:val="22"/>
        </w:rPr>
        <w:t xml:space="preserve">Version 1.0  |  May 2026</w:t>
      </w:r>
    </w:p>
    <w:p>
      <w:r>
        <w:br w:type="page"/>
      </w:r>
    </w:p>
    <w:p>
      <w:pPr>
        <w:pStyle w:val="Heading1"/>
        <w:spacing w:after="120" w:before="360"/>
      </w:pPr>
      <w:r>
        <w:rPr>
          <w:rFonts w:ascii="Arial" w:cs="Arial" w:eastAsia="Arial" w:hAnsi="Arial"/>
          <w:b/>
          <w:bCs/>
          <w:color w:val="1A7C4E"/>
          <w:sz w:val="36"/>
          <w:szCs w:val="36"/>
        </w:rPr>
        <w:t xml:space="preserve">How to Use This Document</w:t>
      </w:r>
    </w:p>
    <w:p>
      <w:pPr>
        <w:spacing w:after="100" w:before="60"/>
      </w:pPr>
      <w:r>
        <w:rPr>
          <w:rFonts w:ascii="Arial" w:cs="Arial" w:eastAsia="Arial" w:hAnsi="Arial"/>
          <w:sz w:val="22"/>
          <w:szCs w:val="22"/>
        </w:rPr>
        <w:t xml:space="preserve">This document is your operating manual for building Notho. Each phase has three parts: a brief description of what is being built, the exact prompts to give Claude, and a checklist you must complete before starting the next phase.</w:t>
      </w:r>
    </w:p>
    <w:p>
      <w:r>
        <w:t xml:space="preserve"/>
      </w:r>
    </w:p>
    <w:p>
      <w:pPr>
        <w:spacing w:after="100" w:before="60"/>
      </w:pPr>
      <w:r>
        <w:rPr>
          <w:rFonts w:ascii="Arial" w:cs="Arial" w:eastAsia="Arial" w:hAnsi="Arial"/>
          <w:sz w:val="22"/>
          <w:szCs w:val="22"/>
        </w:rPr>
        <w:t xml:space="preserve">Two rules never change, regardless of phase:</w:t>
      </w:r>
    </w:p>
    <w:p>
      <w:pPr>
        <w:pStyle w:val="ListParagraph"/>
        <w:numPr>
          <w:ilvl w:val="0"/>
          <w:numId w:val="2"/>
        </w:numPr>
        <w:spacing w:after="60" w:before="40"/>
      </w:pPr>
      <w:r>
        <w:rPr>
          <w:rFonts w:ascii="Arial" w:cs="Arial" w:eastAsia="Arial" w:hAnsi="Arial"/>
          <w:sz w:val="22"/>
          <w:szCs w:val="22"/>
        </w:rPr>
        <w:t xml:space="preserve">No AI-detectable writing anywhere. No promotional adjectives, no em dashes, no rule-of-three lists, no vague attributions. If it reads like a robot wrote it, it gets rewritten before it ships.</w:t>
      </w:r>
    </w:p>
    <w:p>
      <w:pPr>
        <w:pStyle w:val="ListParagraph"/>
        <w:numPr>
          <w:ilvl w:val="0"/>
          <w:numId w:val="2"/>
        </w:numPr>
        <w:spacing w:after="60" w:before="40"/>
      </w:pPr>
      <w:r>
        <w:rPr>
          <w:rFonts w:ascii="Arial" w:cs="Arial" w:eastAsia="Arial" w:hAnsi="Arial"/>
          <w:sz w:val="22"/>
          <w:szCs w:val="22"/>
        </w:rPr>
        <w:t xml:space="preserve">100% accuracy for all learning content. Every number, every rate, every tax bracket, every definition must be verifiable against a primary source. The sources are listed in the Learning Content chapter at the end of this document.</w:t>
      </w:r>
    </w:p>
    <w:p>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8860B" w:sz="4"/>
              <w:left w:val="single" w:color="B8860B" w:sz="4"/>
              <w:bottom w:val="single" w:color="B8860B" w:sz="4"/>
              <w:right w:val="single" w:color="B8860B" w:sz="4"/>
            </w:tcBorders>
            <w:shd w:fill="FFF3CD" w:val="clear"/>
            <w:tcMar>
              <w:top w:type="dxa" w:w="100"/>
              <w:left w:type="dxa" w:w="160"/>
              <w:bottom w:type="dxa" w:w="100"/>
              <w:right w:type="dxa" w:w="160"/>
            </w:tcMar>
          </w:tcPr>
          <w:p>
            <w:pPr>
              <w:spacing w:after="60" w:before="0"/>
            </w:pPr>
            <w:r>
              <w:rPr>
                <w:rFonts w:ascii="Arial" w:cs="Arial" w:eastAsia="Arial" w:hAnsi="Arial"/>
                <w:b/>
                <w:bCs/>
                <w:color w:val="B8860B"/>
                <w:sz w:val="20"/>
                <w:szCs w:val="20"/>
              </w:rPr>
              <w:t xml:space="preserve">STANDING RULE</w:t>
            </w:r>
          </w:p>
          <w:p>
            <w:pPr>
              <w:spacing w:after="0" w:before="0"/>
            </w:pPr>
            <w:r>
              <w:rPr>
                <w:rFonts w:ascii="Arial" w:cs="Arial" w:eastAsia="Arial" w:hAnsi="Arial"/>
                <w:sz w:val="22"/>
                <w:szCs w:val="22"/>
              </w:rPr>
              <w:t xml:space="preserve">Never use em dashes. Use commas, semicolons, colons, or rewrite the sentence. This applies to every piece of copy: emails, lessons, notifications, UI labels, and any document generated by or for Notho.</w:t>
            </w:r>
          </w:p>
        </w:tc>
      </w:tr>
    </w:tbl>
    <w:p>
      <w:r>
        <w:t xml:space="preserve"/>
      </w:r>
    </w:p>
    <w:p>
      <w:r>
        <w:br w:type="page"/>
      </w:r>
    </w:p>
    <w:p>
      <w:pPr>
        <w:pStyle w:val="Heading1"/>
        <w:spacing w:after="120" w:before="360"/>
      </w:pPr>
      <w:r>
        <w:rPr>
          <w:rFonts w:ascii="Arial" w:cs="Arial" w:eastAsia="Arial" w:hAnsi="Arial"/>
          <w:b/>
          <w:bCs/>
          <w:color w:val="1A7C4E"/>
          <w:sz w:val="36"/>
          <w:szCs w:val="36"/>
        </w:rPr>
        <w:t xml:space="preserve">Phase 0: Retention Foundation (Days 1 to 7)</w:t>
      </w:r>
    </w:p>
    <w:p>
      <w:pPr>
        <w:spacing w:after="100" w:before="60"/>
      </w:pPr>
      <w:r>
        <w:rPr>
          <w:rFonts w:ascii="Arial" w:cs="Arial" w:eastAsia="Arial" w:hAnsi="Arial"/>
          <w:sz w:val="22"/>
          <w:szCs w:val="22"/>
        </w:rPr>
        <w:t xml:space="preserve">What is getting built: streak freeze mechanic, D+7/D+14/D+30 email drip sequences, PostHog baseline funnels, and a WAU audit of existing features.</w:t>
      </w:r>
    </w:p>
    <w:p>
      <w:r>
        <w:t xml:space="preserve"/>
      </w:r>
    </w:p>
    <w:p>
      <w:pPr>
        <w:pStyle w:val="Heading2"/>
        <w:spacing w:after="100" w:before="280"/>
      </w:pPr>
      <w:r>
        <w:rPr>
          <w:rFonts w:ascii="Arial" w:cs="Arial" w:eastAsia="Arial" w:hAnsi="Arial"/>
          <w:b/>
          <w:bCs/>
          <w:color w:val="333333"/>
          <w:sz w:val="28"/>
          <w:szCs w:val="28"/>
        </w:rPr>
        <w:t xml:space="preserve">Prompts for Phase 0</w:t>
      </w:r>
    </w:p>
    <w:p>
      <w:pPr>
        <w:pStyle w:val="Heading3"/>
        <w:spacing w:after="80" w:before="200"/>
      </w:pPr>
      <w:r>
        <w:rPr>
          <w:rFonts w:ascii="Arial" w:cs="Arial" w:eastAsia="Arial" w:hAnsi="Arial"/>
          <w:b/>
          <w:bCs/>
          <w:color w:val="333333"/>
          <w:sz w:val="24"/>
          <w:szCs w:val="24"/>
        </w:rPr>
        <w:t xml:space="preserve">1. Streak Freeze UI</w:t>
      </w:r>
    </w:p>
    <w:p>
      <w:pPr>
        <w:spacing w:after="100" w:before="60"/>
      </w:pPr>
      <w:r>
        <w:rPr>
          <w:rFonts w:ascii="Arial" w:cs="Arial" w:eastAsia="Arial" w:hAnsi="Arial"/>
          <w:sz w:val="22"/>
          <w:szCs w:val="22"/>
        </w:rPr>
        <w:t xml:space="preserve">The migration and RPC are already shipped. The next step is adding the freeze toggle to the streak display in the UI.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In the streak display component, add a 'Use Freeze' button that only appears when: (a) the user missed yesterday, (b) streak_freeze_count is greater than 0, and (c) streak is greater than 2. Call the use_streak_freeze RPC on tap. Show the remaining freeze count as a small badge. The button should feel like a safety net, not a cheat code. No promotional copy.</w:t>
            </w:r>
          </w:p>
        </w:tc>
      </w:tr>
    </w:tbl>
    <w:p>
      <w:r>
        <w:t xml:space="preserve"/>
      </w:r>
    </w:p>
    <w:p>
      <w:pPr>
        <w:pStyle w:val="Heading3"/>
        <w:spacing w:after="80" w:before="200"/>
      </w:pPr>
      <w:r>
        <w:rPr>
          <w:rFonts w:ascii="Arial" w:cs="Arial" w:eastAsia="Arial" w:hAnsi="Arial"/>
          <w:b/>
          <w:bCs/>
          <w:color w:val="333333"/>
          <w:sz w:val="24"/>
          <w:szCs w:val="24"/>
        </w:rPr>
        <w:t xml:space="preserve">2. Create D+7, D+14, D+30 Resend Templates</w:t>
      </w:r>
    </w:p>
    <w:p>
      <w:pPr>
        <w:spacing w:after="100" w:before="60"/>
      </w:pPr>
      <w:r>
        <w:rPr>
          <w:rFonts w:ascii="Arial" w:cs="Arial" w:eastAsia="Arial" w:hAnsi="Arial"/>
          <w:sz w:val="22"/>
          <w:szCs w:val="22"/>
        </w:rPr>
        <w:t xml:space="preserve">Run the creation script with your Resend API key (supabase/create_drip_templates.sh), then add the three returned IDs to Supabase Edge Function Secrets as D7_TEMPLATE_ID, D14_TEMPLATE_ID, D30_TEMPLATE_ID.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I've run the drip template creation script. The IDs are: D7=[paste], D14=[paste], D30=[paste]. Add these to the Supabase Edge Function secrets and verify the drip-batch handler will fire them correctly.</w:t>
            </w:r>
          </w:p>
        </w:tc>
      </w:tr>
    </w:tbl>
    <w:p>
      <w:r>
        <w:t xml:space="preserve"/>
      </w:r>
    </w:p>
    <w:p>
      <w:pPr>
        <w:pStyle w:val="Heading3"/>
        <w:spacing w:after="80" w:before="200"/>
      </w:pPr>
      <w:r>
        <w:rPr>
          <w:rFonts w:ascii="Arial" w:cs="Arial" w:eastAsia="Arial" w:hAnsi="Arial"/>
          <w:b/>
          <w:bCs/>
          <w:color w:val="333333"/>
          <w:sz w:val="24"/>
          <w:szCs w:val="24"/>
        </w:rPr>
        <w:t xml:space="preserve">3. Fix Resend Template Warnings</w:t>
      </w:r>
    </w:p>
    <w:p>
      <w:pPr>
        <w:spacing w:after="100" w:before="60"/>
      </w:pPr>
      <w:r>
        <w:rPr>
          <w:rFonts w:ascii="Arial" w:cs="Arial" w:eastAsia="Arial" w:hAnsi="Arial"/>
          <w:sz w:val="22"/>
          <w:szCs w:val="22"/>
        </w:rPr>
        <w:t xml:space="preserve">Run supabase/fix_resend_templates.sh with your Resend API key to set the from address, default subject, preview text, and variable fallbacks on both the welcome and D+1 templates. Then publish both templates in the Resend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Run fix_resend_templates.sh and confirm both templates show no warnings in the Resend dashboard.</w:t>
            </w:r>
          </w:p>
        </w:tc>
      </w:tr>
    </w:tbl>
    <w:p>
      <w:r>
        <w:t xml:space="preserve"/>
      </w:r>
    </w:p>
    <w:p>
      <w:pPr>
        <w:pStyle w:val="Heading3"/>
        <w:spacing w:after="80" w:before="200"/>
      </w:pPr>
      <w:r>
        <w:rPr>
          <w:rFonts w:ascii="Arial" w:cs="Arial" w:eastAsia="Arial" w:hAnsi="Arial"/>
          <w:b/>
          <w:bCs/>
          <w:color w:val="333333"/>
          <w:sz w:val="24"/>
          <w:szCs w:val="24"/>
        </w:rPr>
        <w:t xml:space="preserve">4. PostHog Funnel Setup</w:t>
      </w:r>
    </w:p>
    <w:p>
      <w:pPr>
        <w:spacing w:after="100" w:before="60"/>
      </w:pPr>
      <w:r>
        <w:rPr>
          <w:rFonts w:ascii="Arial" w:cs="Arial" w:eastAsia="Arial" w:hAnsi="Arial"/>
          <w:sz w:val="22"/>
          <w:szCs w:val="22"/>
        </w:rPr>
        <w:t xml:space="preserve">Open ANALYTICS.md in the project root. Build each of the five funnels exactly as described, with the specified events and conversion windows.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I need help setting up the PostHog feature flags listed in ANALYTICS.md. Create a step-by-step guide for creating each flag in the PostHog dashboard, including the default values and rollout strategy for paywall_enabled.</w:t>
            </w:r>
          </w:p>
        </w:tc>
      </w:tr>
    </w:tbl>
    <w:p>
      <w:r>
        <w:t xml:space="preserve"/>
      </w:r>
    </w:p>
    <w:p>
      <w:pPr>
        <w:pStyle w:val="Heading3"/>
        <w:spacing w:after="80" w:before="200"/>
      </w:pPr>
      <w:r>
        <w:rPr>
          <w:rFonts w:ascii="Arial" w:cs="Arial" w:eastAsia="Arial" w:hAnsi="Arial"/>
          <w:b/>
          <w:bCs/>
          <w:color w:val="333333"/>
          <w:sz w:val="24"/>
          <w:szCs w:val="24"/>
        </w:rPr>
        <w:t xml:space="preserve">5. WAU Feature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Look at all features currently in the app. For each one, identify the PostHog event that measures its usage. List any features that have no corresponding event. Flag any feature that you estimate will have sub-5% WAU, with your reasoning.</w:t>
            </w:r>
          </w:p>
        </w:tc>
      </w:tr>
    </w:tbl>
    <w:p>
      <w:r>
        <w:t xml:space="preserve"/>
      </w:r>
    </w:p>
    <w:p>
      <w:pPr>
        <w:pBdr>
          <w:bottom w:val="single" w:color="CCCCCC" w:sz="4" w:space="1"/>
        </w:pBdr>
        <w:spacing w:after="200" w:before="200"/>
      </w:pPr>
      <w:r>
        <w:t xml:space="preserve"/>
      </w:r>
    </w:p>
    <w:p>
      <w:pPr>
        <w:pStyle w:val="Heading2"/>
        <w:spacing w:after="100" w:before="280"/>
      </w:pPr>
      <w:r>
        <w:rPr>
          <w:rFonts w:ascii="Arial" w:cs="Arial" w:eastAsia="Arial" w:hAnsi="Arial"/>
          <w:b/>
          <w:bCs/>
          <w:color w:val="333333"/>
          <w:sz w:val="28"/>
          <w:szCs w:val="28"/>
        </w:rPr>
        <w:t xml:space="preserve">Phase 0 Exit Checklist</w:t>
      </w:r>
    </w:p>
    <w:p>
      <w:pPr>
        <w:spacing w:after="100" w:before="60"/>
      </w:pPr>
      <w:r>
        <w:rPr>
          <w:rFonts w:ascii="Arial" w:cs="Arial" w:eastAsia="Arial" w:hAnsi="Arial"/>
          <w:sz w:val="22"/>
          <w:szCs w:val="22"/>
        </w:rPr>
        <w:t xml:space="preserve">Complete every item before starting Phase 1.</w:t>
      </w:r>
    </w:p>
    <w:p>
      <w:pPr>
        <w:pStyle w:val="ListParagraph"/>
        <w:numPr>
          <w:ilvl w:val="0"/>
          <w:numId w:val="3"/>
        </w:numPr>
        <w:spacing w:after="60" w:before="40"/>
      </w:pPr>
      <w:r>
        <w:rPr>
          <w:rFonts w:ascii="Arial" w:cs="Arial" w:eastAsia="Arial" w:hAnsi="Arial"/>
          <w:sz w:val="22"/>
          <w:szCs w:val="22"/>
        </w:rPr>
        <w:t xml:space="preserve">Streak freeze toggle is live and tested: freeze button appears only on missed-day state, RPC call succeeds, freeze count decrements correctly.</w:t>
      </w:r>
    </w:p>
    <w:p>
      <w:pPr>
        <w:pStyle w:val="ListParagraph"/>
        <w:numPr>
          <w:ilvl w:val="0"/>
          <w:numId w:val="3"/>
        </w:numPr>
        <w:spacing w:after="60" w:before="40"/>
      </w:pPr>
      <w:r>
        <w:rPr>
          <w:rFonts w:ascii="Arial" w:cs="Arial" w:eastAsia="Arial" w:hAnsi="Arial"/>
          <w:sz w:val="22"/>
          <w:szCs w:val="22"/>
        </w:rPr>
        <w:t xml:space="preserve">Both Resend templates (welcome, D+1) are Published in the Resend dashboard with no warnings.</w:t>
      </w:r>
    </w:p>
    <w:p>
      <w:pPr>
        <w:pStyle w:val="ListParagraph"/>
        <w:numPr>
          <w:ilvl w:val="0"/>
          <w:numId w:val="3"/>
        </w:numPr>
        <w:spacing w:after="60" w:before="40"/>
      </w:pPr>
      <w:r>
        <w:rPr>
          <w:rFonts w:ascii="Arial" w:cs="Arial" w:eastAsia="Arial" w:hAnsi="Arial"/>
          <w:sz w:val="22"/>
          <w:szCs w:val="22"/>
        </w:rPr>
        <w:t xml:space="preserve">D+7, D+14, D+30 template IDs are set as Supabase secrets.</w:t>
      </w:r>
    </w:p>
    <w:p>
      <w:pPr>
        <w:pStyle w:val="ListParagraph"/>
        <w:numPr>
          <w:ilvl w:val="0"/>
          <w:numId w:val="3"/>
        </w:numPr>
        <w:spacing w:after="60" w:before="40"/>
      </w:pPr>
      <w:r>
        <w:rPr>
          <w:rFonts w:ascii="Arial" w:cs="Arial" w:eastAsia="Arial" w:hAnsi="Arial"/>
          <w:sz w:val="22"/>
          <w:szCs w:val="22"/>
        </w:rPr>
        <w:t xml:space="preserve">Daily pg_cron drip-batch job is confirmed active in Supabase Dashboard &gt; Database &gt; Cron Jobs.</w:t>
      </w:r>
    </w:p>
    <w:p>
      <w:pPr>
        <w:pStyle w:val="ListParagraph"/>
        <w:numPr>
          <w:ilvl w:val="0"/>
          <w:numId w:val="3"/>
        </w:numPr>
        <w:spacing w:after="60" w:before="40"/>
      </w:pPr>
      <w:r>
        <w:rPr>
          <w:rFonts w:ascii="Arial" w:cs="Arial" w:eastAsia="Arial" w:hAnsi="Arial"/>
          <w:sz w:val="22"/>
          <w:szCs w:val="22"/>
        </w:rPr>
        <w:t xml:space="preserve">PostHog: five funnels are created with correct events and conversion windows.</w:t>
      </w:r>
    </w:p>
    <w:p>
      <w:pPr>
        <w:pStyle w:val="ListParagraph"/>
        <w:numPr>
          <w:ilvl w:val="0"/>
          <w:numId w:val="3"/>
        </w:numPr>
        <w:spacing w:after="60" w:before="40"/>
      </w:pPr>
      <w:r>
        <w:rPr>
          <w:rFonts w:ascii="Arial" w:cs="Arial" w:eastAsia="Arial" w:hAnsi="Arial"/>
          <w:sz w:val="22"/>
          <w:szCs w:val="22"/>
        </w:rPr>
        <w:t xml:space="preserve">PostHog: seven feature flags are created (paywall_enabled, streak_freeze_enabled, pwa_install_prompt_enabled, d7_email_enabled, d14_email_enabled, d30_email_enabled, content_impact_survey_enabled).</w:t>
      </w:r>
    </w:p>
    <w:p>
      <w:pPr>
        <w:pStyle w:val="ListParagraph"/>
        <w:numPr>
          <w:ilvl w:val="0"/>
          <w:numId w:val="3"/>
        </w:numPr>
        <w:spacing w:after="60" w:before="40"/>
      </w:pPr>
      <w:r>
        <w:rPr>
          <w:rFonts w:ascii="Arial" w:cs="Arial" w:eastAsia="Arial" w:hAnsi="Arial"/>
          <w:sz w:val="22"/>
          <w:szCs w:val="22"/>
        </w:rPr>
        <w:t xml:space="preserve">WAU audit is complete. Features with no tracking event have been instrumented or flagged for removal.</w:t>
      </w:r>
    </w:p>
    <w:p>
      <w:pPr>
        <w:pStyle w:val="ListParagraph"/>
        <w:numPr>
          <w:ilvl w:val="0"/>
          <w:numId w:val="3"/>
        </w:numPr>
        <w:spacing w:after="60" w:before="40"/>
      </w:pPr>
      <w:r>
        <w:rPr>
          <w:rFonts w:ascii="Arial" w:cs="Arial" w:eastAsia="Arial" w:hAnsi="Arial"/>
          <w:sz w:val="22"/>
          <w:szCs w:val="22"/>
        </w:rPr>
        <w:t xml:space="preserve">All copy in emails and UI passes the no-AI-writing check: no em dashes, no rule-of-three, no promotional adjectives.</w:t>
      </w:r>
    </w:p>
    <w:p>
      <w:r>
        <w:t xml:space="preserve"/>
      </w:r>
    </w:p>
    <w:p>
      <w:r>
        <w:br w:type="page"/>
      </w:r>
    </w:p>
    <w:p>
      <w:pPr>
        <w:pStyle w:val="Heading1"/>
        <w:spacing w:after="120" w:before="360"/>
      </w:pPr>
      <w:r>
        <w:rPr>
          <w:rFonts w:ascii="Arial" w:cs="Arial" w:eastAsia="Arial" w:hAnsi="Arial"/>
          <w:b/>
          <w:bCs/>
          <w:color w:val="1A7C4E"/>
          <w:sz w:val="36"/>
          <w:szCs w:val="36"/>
        </w:rPr>
        <w:t xml:space="preserve">Phase 1: Learning Science + Offline (Weeks 2 to 8)</w:t>
      </w:r>
    </w:p>
    <w:p>
      <w:pPr>
        <w:spacing w:after="100" w:before="60"/>
      </w:pPr>
      <w:r>
        <w:rPr>
          <w:rFonts w:ascii="Arial" w:cs="Arial" w:eastAsia="Arial" w:hAnsi="Arial"/>
          <w:sz w:val="22"/>
          <w:szCs w:val="22"/>
        </w:rPr>
        <w:t xml:space="preserve">What is getting built: SM-2 spaced repetition algorithm for lesson review scheduling, micro-commitment prompts after each lesson, and offline-first PWA via next-pwa and Workbox.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00"/>
              <w:left w:type="dxa" w:w="160"/>
              <w:bottom w:type="dxa" w:w="100"/>
              <w:right w:type="dxa" w:w="160"/>
            </w:tcMar>
          </w:tcPr>
          <w:p>
            <w:pPr>
              <w:spacing w:after="60" w:before="0"/>
            </w:pPr>
            <w:r>
              <w:rPr>
                <w:rFonts w:ascii="Arial" w:cs="Arial" w:eastAsia="Arial" w:hAnsi="Arial"/>
                <w:b/>
                <w:bCs/>
                <w:color w:val="1A7C4E"/>
                <w:sz w:val="20"/>
                <w:szCs w:val="20"/>
              </w:rPr>
              <w:t xml:space="preserve">LITERACY TEST</w:t>
            </w:r>
          </w:p>
          <w:p>
            <w:pPr>
              <w:spacing w:after="0" w:before="0"/>
            </w:pPr>
            <w:r>
              <w:rPr>
                <w:rFonts w:ascii="Arial" w:cs="Arial" w:eastAsia="Arial" w:hAnsi="Arial"/>
                <w:sz w:val="22"/>
                <w:szCs w:val="22"/>
              </w:rPr>
              <w:t xml:space="preserve">Before shipping any feature in this phase, ask: does this feature make users demonstrably better at managing money, or does it just increase engagement metrics? If the answer is only the latter, cut it.</w:t>
            </w:r>
          </w:p>
        </w:tc>
      </w:tr>
    </w:tbl>
    <w:p>
      <w:r>
        <w:t xml:space="preserve"/>
      </w:r>
    </w:p>
    <w:p>
      <w:pPr>
        <w:pStyle w:val="Heading2"/>
        <w:spacing w:after="100" w:before="280"/>
      </w:pPr>
      <w:r>
        <w:rPr>
          <w:rFonts w:ascii="Arial" w:cs="Arial" w:eastAsia="Arial" w:hAnsi="Arial"/>
          <w:b/>
          <w:bCs/>
          <w:color w:val="333333"/>
          <w:sz w:val="28"/>
          <w:szCs w:val="28"/>
        </w:rPr>
        <w:t xml:space="preserve">Prompts for Phase 1</w:t>
      </w:r>
    </w:p>
    <w:p>
      <w:pPr>
        <w:pStyle w:val="Heading3"/>
        <w:spacing w:after="80" w:before="200"/>
      </w:pPr>
      <w:r>
        <w:rPr>
          <w:rFonts w:ascii="Arial" w:cs="Arial" w:eastAsia="Arial" w:hAnsi="Arial"/>
          <w:b/>
          <w:bCs/>
          <w:color w:val="333333"/>
          <w:sz w:val="24"/>
          <w:szCs w:val="24"/>
        </w:rPr>
        <w:t xml:space="preserve">1. SM-2 Spaced Repetition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Implement the SM-2 spaced repetition algorithm for Notho. For each completed lesson, store: ease_factor (float, default 2.5), interval_days (int, default 1), and next_review_at (timestamptz). Write the Supabase migration, the TypeScript SM-2 update function (given quality score 0-5, update ease_factor and interval), and the UI component that shows due-for-review lessons on the home screen. Quality score mapping: perfect answer first try = 5, correct after hint = 3, wrong = 1.</w:t>
            </w:r>
          </w:p>
        </w:tc>
      </w:tr>
    </w:tbl>
    <w:p>
      <w:r>
        <w:t xml:space="preserve"/>
      </w:r>
    </w:p>
    <w:p>
      <w:pPr>
        <w:pStyle w:val="Heading3"/>
        <w:spacing w:after="80" w:before="200"/>
      </w:pPr>
      <w:r>
        <w:rPr>
          <w:rFonts w:ascii="Arial" w:cs="Arial" w:eastAsia="Arial" w:hAnsi="Arial"/>
          <w:b/>
          <w:bCs/>
          <w:color w:val="333333"/>
          <w:sz w:val="24"/>
          <w:szCs w:val="24"/>
        </w:rPr>
        <w:t xml:space="preserve">2. Micro-Commitment Prompts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After every lesson completion, show a micro-commitment card. The card asks the user to commit to one specific real action related to what they just learned. Examples: after a budgeting lesson, 'Open your bank app and add up your last three grocery spends.' After an investment lesson, 'Find out if your employer offers a provident fund.' The commitment is not enforced, but it is logged as a budget_opened_post_lesson or similar event. Write the component and the list of commitments mapped to lesson IDs.</w:t>
            </w:r>
          </w:p>
        </w:tc>
      </w:tr>
    </w:tbl>
    <w:p>
      <w:r>
        <w:t xml:space="preserve"/>
      </w:r>
    </w:p>
    <w:p>
      <w:pPr>
        <w:pStyle w:val="Heading3"/>
        <w:spacing w:after="80" w:before="200"/>
      </w:pPr>
      <w:r>
        <w:rPr>
          <w:rFonts w:ascii="Arial" w:cs="Arial" w:eastAsia="Arial" w:hAnsi="Arial"/>
          <w:b/>
          <w:bCs/>
          <w:color w:val="333333"/>
          <w:sz w:val="24"/>
          <w:szCs w:val="24"/>
        </w:rPr>
        <w:t xml:space="preserve">3. Offline PWA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Set up next-pwa with Workbox for Notho. The app must work completely offline for: viewing already-loaded lessons, completing quizzes, and viewing the budget planner with locally cached data. Sync happens silently when connectivity returns. South African load shedding means 2-4 hours of no connectivity is normal. Write the next.config.js changes, the service worker strategy (NetworkFirst for auth, CacheFirst for lesson content), and a small offline indicator component that shows when the user is in offline mode.</w:t>
            </w:r>
          </w:p>
        </w:tc>
      </w:tr>
    </w:tbl>
    <w:p>
      <w:r>
        <w:t xml:space="preserve"/>
      </w:r>
    </w:p>
    <w:p>
      <w:pPr>
        <w:pStyle w:val="Heading3"/>
        <w:spacing w:after="80" w:before="200"/>
      </w:pPr>
      <w:r>
        <w:rPr>
          <w:rFonts w:ascii="Arial" w:cs="Arial" w:eastAsia="Arial" w:hAnsi="Arial"/>
          <w:b/>
          <w:bCs/>
          <w:color w:val="333333"/>
          <w:sz w:val="24"/>
          <w:szCs w:val="24"/>
        </w:rPr>
        <w:t xml:space="preserve">4. Content Accuracy Pass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Go through every lesson in src/data/content.ts and content-extra.ts. For each fact, statistic, or rate, flag whether it has a cited source. List all unsourced claims. I will verify each one against the documents in the Learning Material folder and either confirm, update, or remove it.</w:t>
            </w:r>
          </w:p>
        </w:tc>
      </w:tr>
    </w:tbl>
    <w:p>
      <w:r>
        <w:t xml:space="preserve"/>
      </w:r>
    </w:p>
    <w:p>
      <w:pPr>
        <w:pBdr>
          <w:bottom w:val="single" w:color="CCCCCC" w:sz="4" w:space="1"/>
        </w:pBdr>
        <w:spacing w:after="200" w:before="200"/>
      </w:pPr>
      <w:r>
        <w:t xml:space="preserve"/>
      </w:r>
    </w:p>
    <w:p>
      <w:pPr>
        <w:pStyle w:val="Heading2"/>
        <w:spacing w:after="100" w:before="280"/>
      </w:pPr>
      <w:r>
        <w:rPr>
          <w:rFonts w:ascii="Arial" w:cs="Arial" w:eastAsia="Arial" w:hAnsi="Arial"/>
          <w:b/>
          <w:bCs/>
          <w:color w:val="333333"/>
          <w:sz w:val="28"/>
          <w:szCs w:val="28"/>
        </w:rPr>
        <w:t xml:space="preserve">Phase 1 Exit Checklist</w:t>
      </w:r>
    </w:p>
    <w:p>
      <w:pPr>
        <w:pStyle w:val="ListParagraph"/>
        <w:numPr>
          <w:ilvl w:val="0"/>
          <w:numId w:val="3"/>
        </w:numPr>
        <w:spacing w:after="60" w:before="40"/>
      </w:pPr>
      <w:r>
        <w:rPr>
          <w:rFonts w:ascii="Arial" w:cs="Arial" w:eastAsia="Arial" w:hAnsi="Arial"/>
          <w:sz w:val="22"/>
          <w:szCs w:val="22"/>
        </w:rPr>
        <w:t xml:space="preserve">SM-2 migration is applied. ease_factor, interval_days, next_review_at columns exist in lesson_completions or user_progress.</w:t>
      </w:r>
    </w:p>
    <w:p>
      <w:pPr>
        <w:pStyle w:val="ListParagraph"/>
        <w:numPr>
          <w:ilvl w:val="0"/>
          <w:numId w:val="3"/>
        </w:numPr>
        <w:spacing w:after="60" w:before="40"/>
      </w:pPr>
      <w:r>
        <w:rPr>
          <w:rFonts w:ascii="Arial" w:cs="Arial" w:eastAsia="Arial" w:hAnsi="Arial"/>
          <w:sz w:val="22"/>
          <w:szCs w:val="22"/>
        </w:rPr>
        <w:t xml:space="preserve">SM-2 update function calculates new ease_factor and interval correctly for quality scores 0-5.</w:t>
      </w:r>
    </w:p>
    <w:p>
      <w:pPr>
        <w:pStyle w:val="ListParagraph"/>
        <w:numPr>
          <w:ilvl w:val="0"/>
          <w:numId w:val="3"/>
        </w:numPr>
        <w:spacing w:after="60" w:before="40"/>
      </w:pPr>
      <w:r>
        <w:rPr>
          <w:rFonts w:ascii="Arial" w:cs="Arial" w:eastAsia="Arial" w:hAnsi="Arial"/>
          <w:sz w:val="22"/>
          <w:szCs w:val="22"/>
        </w:rPr>
        <w:t xml:space="preserve">Home screen shows due-for-review lessons, sorted by next_review_at ascending.</w:t>
      </w:r>
    </w:p>
    <w:p>
      <w:pPr>
        <w:pStyle w:val="ListParagraph"/>
        <w:numPr>
          <w:ilvl w:val="0"/>
          <w:numId w:val="3"/>
        </w:numPr>
        <w:spacing w:after="60" w:before="40"/>
      </w:pPr>
      <w:r>
        <w:rPr>
          <w:rFonts w:ascii="Arial" w:cs="Arial" w:eastAsia="Arial" w:hAnsi="Arial"/>
          <w:sz w:val="22"/>
          <w:szCs w:val="22"/>
        </w:rPr>
        <w:t xml:space="preserve">Micro-commitment cards exist for at least 80% of lessons.</w:t>
      </w:r>
    </w:p>
    <w:p>
      <w:pPr>
        <w:pStyle w:val="ListParagraph"/>
        <w:numPr>
          <w:ilvl w:val="0"/>
          <w:numId w:val="3"/>
        </w:numPr>
        <w:spacing w:after="60" w:before="40"/>
      </w:pPr>
      <w:r>
        <w:rPr>
          <w:rFonts w:ascii="Arial" w:cs="Arial" w:eastAsia="Arial" w:hAnsi="Arial"/>
          <w:sz w:val="22"/>
          <w:szCs w:val="22"/>
        </w:rPr>
        <w:t xml:space="preserve">Commitment events are firing in PostHog.</w:t>
      </w:r>
    </w:p>
    <w:p>
      <w:pPr>
        <w:pStyle w:val="ListParagraph"/>
        <w:numPr>
          <w:ilvl w:val="0"/>
          <w:numId w:val="3"/>
        </w:numPr>
        <w:spacing w:after="60" w:before="40"/>
      </w:pPr>
      <w:r>
        <w:rPr>
          <w:rFonts w:ascii="Arial" w:cs="Arial" w:eastAsia="Arial" w:hAnsi="Arial"/>
          <w:sz w:val="22"/>
          <w:szCs w:val="22"/>
        </w:rPr>
        <w:t xml:space="preserve">next-pwa is installed. Lessons load in offline mode on a real device with airplane mode.</w:t>
      </w:r>
    </w:p>
    <w:p>
      <w:pPr>
        <w:pStyle w:val="ListParagraph"/>
        <w:numPr>
          <w:ilvl w:val="0"/>
          <w:numId w:val="3"/>
        </w:numPr>
        <w:spacing w:after="60" w:before="40"/>
      </w:pPr>
      <w:r>
        <w:rPr>
          <w:rFonts w:ascii="Arial" w:cs="Arial" w:eastAsia="Arial" w:hAnsi="Arial"/>
          <w:sz w:val="22"/>
          <w:szCs w:val="22"/>
        </w:rPr>
        <w:t xml:space="preserve">Offline indicator appears and disappears correctly on connectivity change.</w:t>
      </w:r>
    </w:p>
    <w:p>
      <w:pPr>
        <w:pStyle w:val="ListParagraph"/>
        <w:numPr>
          <w:ilvl w:val="0"/>
          <w:numId w:val="3"/>
        </w:numPr>
        <w:spacing w:after="60" w:before="40"/>
      </w:pPr>
      <w:r>
        <w:rPr>
          <w:rFonts w:ascii="Arial" w:cs="Arial" w:eastAsia="Arial" w:hAnsi="Arial"/>
          <w:sz w:val="22"/>
          <w:szCs w:val="22"/>
        </w:rPr>
        <w:t xml:space="preserve">Content accuracy pass complete: all flagged unsourced claims resolved.</w:t>
      </w:r>
    </w:p>
    <w:p>
      <w:pPr>
        <w:pStyle w:val="ListParagraph"/>
        <w:numPr>
          <w:ilvl w:val="0"/>
          <w:numId w:val="3"/>
        </w:numPr>
        <w:spacing w:after="60" w:before="40"/>
      </w:pPr>
      <w:r>
        <w:rPr>
          <w:rFonts w:ascii="Arial" w:cs="Arial" w:eastAsia="Arial" w:hAnsi="Arial"/>
          <w:sz w:val="22"/>
          <w:szCs w:val="22"/>
        </w:rPr>
        <w:t xml:space="preserve">No AI-detectable writing in any micro-commitment or lesson copy added this phase.</w:t>
      </w:r>
    </w:p>
    <w:p>
      <w:r>
        <w:t xml:space="preserve"/>
      </w:r>
    </w:p>
    <w:p>
      <w:r>
        <w:br w:type="page"/>
      </w:r>
    </w:p>
    <w:p>
      <w:pPr>
        <w:pStyle w:val="Heading1"/>
        <w:spacing w:after="120" w:before="360"/>
      </w:pPr>
      <w:r>
        <w:rPr>
          <w:rFonts w:ascii="Arial" w:cs="Arial" w:eastAsia="Arial" w:hAnsi="Arial"/>
          <w:b/>
          <w:bCs/>
          <w:color w:val="1A7C4E"/>
          <w:sz w:val="36"/>
          <w:szCs w:val="36"/>
        </w:rPr>
        <w:t xml:space="preserve">Phase 2: Monetisation + Growth (Months 2 to 4)</w:t>
      </w:r>
    </w:p>
    <w:p>
      <w:pPr>
        <w:spacing w:after="100" w:before="60"/>
      </w:pPr>
      <w:r>
        <w:rPr>
          <w:rFonts w:ascii="Arial" w:cs="Arial" w:eastAsia="Arial" w:hAnsi="Arial"/>
          <w:sz w:val="22"/>
          <w:szCs w:val="22"/>
        </w:rPr>
        <w:t xml:space="preserve">What is getting built: Stripe subscription in ZAR with PayFast as secondary, freemium gate at Unit 4, PWA install prompt post-Unit-1 completion, Africa's Talking SMS for high-priority nudges, and Vercel OG social share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8860B" w:sz="4"/>
              <w:left w:val="single" w:color="B8860B" w:sz="4"/>
              <w:bottom w:val="single" w:color="B8860B" w:sz="4"/>
              <w:right w:val="single" w:color="B8860B" w:sz="4"/>
            </w:tcBorders>
            <w:shd w:fill="FFF3CD" w:val="clear"/>
            <w:tcMar>
              <w:top w:type="dxa" w:w="100"/>
              <w:left w:type="dxa" w:w="160"/>
              <w:bottom w:type="dxa" w:w="100"/>
              <w:right w:type="dxa" w:w="160"/>
            </w:tcMar>
          </w:tcPr>
          <w:p>
            <w:pPr>
              <w:spacing w:after="60" w:before="0"/>
            </w:pPr>
            <w:r>
              <w:rPr>
                <w:rFonts w:ascii="Arial" w:cs="Arial" w:eastAsia="Arial" w:hAnsi="Arial"/>
                <w:b/>
                <w:bCs/>
                <w:color w:val="B8860B"/>
                <w:sz w:val="20"/>
                <w:szCs w:val="20"/>
              </w:rPr>
              <w:t xml:space="preserve">TRUST FIRST</w:t>
            </w:r>
          </w:p>
          <w:p>
            <w:pPr>
              <w:spacing w:after="0" w:before="0"/>
            </w:pPr>
            <w:r>
              <w:rPr>
                <w:rFonts w:ascii="Arial" w:cs="Arial" w:eastAsia="Arial" w:hAnsi="Arial"/>
                <w:sz w:val="22"/>
                <w:szCs w:val="22"/>
              </w:rPr>
              <w:t xml:space="preserve">Do not enable the paywall until PostHog shows at least 200 users have completed Unit 3. Users who hit a paywall before experiencing real value churn and never return. The paywallShown event must fire before you know how many users are hitting the wall.</w:t>
            </w:r>
          </w:p>
        </w:tc>
      </w:tr>
    </w:tbl>
    <w:p>
      <w:r>
        <w:t xml:space="preserve"/>
      </w:r>
    </w:p>
    <w:p>
      <w:pPr>
        <w:pStyle w:val="Heading2"/>
        <w:spacing w:after="100" w:before="280"/>
      </w:pPr>
      <w:r>
        <w:rPr>
          <w:rFonts w:ascii="Arial" w:cs="Arial" w:eastAsia="Arial" w:hAnsi="Arial"/>
          <w:b/>
          <w:bCs/>
          <w:color w:val="333333"/>
          <w:sz w:val="28"/>
          <w:szCs w:val="28"/>
        </w:rPr>
        <w:t xml:space="preserve">Prompts for Phase 2</w:t>
      </w:r>
    </w:p>
    <w:p>
      <w:pPr>
        <w:pStyle w:val="Heading3"/>
        <w:spacing w:after="80" w:before="200"/>
      </w:pPr>
      <w:r>
        <w:rPr>
          <w:rFonts w:ascii="Arial" w:cs="Arial" w:eastAsia="Arial" w:hAnsi="Arial"/>
          <w:b/>
          <w:bCs/>
          <w:color w:val="333333"/>
          <w:sz w:val="24"/>
          <w:szCs w:val="24"/>
        </w:rPr>
        <w:t xml:space="preserve">1. Stripe + PayFast Subscription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Set up Stripe subscriptions for Notho in ZAR. Plan: R49/month, called 'Notho Pro'. Create the Stripe webhook handler as a Supabase Edge Function that updates profiles.plan to 'pro' on checkout.session.completed. Also set up PayFast as an alternative payment method for users who want to pay via EFT or Capitec Pay. The PayFast flow should use their notify_url webhook to confirm payment. Write both webhook handlers and the subscription status check hook.</w:t>
            </w:r>
          </w:p>
        </w:tc>
      </w:tr>
    </w:tbl>
    <w:p>
      <w:r>
        <w:t xml:space="preserve"/>
      </w:r>
    </w:p>
    <w:p>
      <w:pPr>
        <w:pStyle w:val="Heading3"/>
        <w:spacing w:after="80" w:before="200"/>
      </w:pPr>
      <w:r>
        <w:rPr>
          <w:rFonts w:ascii="Arial" w:cs="Arial" w:eastAsia="Arial" w:hAnsi="Arial"/>
          <w:b/>
          <w:bCs/>
          <w:color w:val="333333"/>
          <w:sz w:val="24"/>
          <w:szCs w:val="24"/>
        </w:rPr>
        <w:t xml:space="preserve">2. Freemium Gate at Unit 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Lock all lessons in Unit 4 and beyond behind the pro plan. The lock should: show a preview of the lesson title and first step, display the paywall screen when tapped, and fire the paywallShown analytics event. The gate must be controlled by the paywall_enabled PostHog feature flag so it can be toggled without a deployment. Write the lesson gate component and integrate the feature flag check.</w:t>
            </w:r>
          </w:p>
        </w:tc>
      </w:tr>
    </w:tbl>
    <w:p>
      <w:r>
        <w:t xml:space="preserve"/>
      </w:r>
    </w:p>
    <w:p>
      <w:pPr>
        <w:pStyle w:val="Heading3"/>
        <w:spacing w:after="80" w:before="200"/>
      </w:pPr>
      <w:r>
        <w:rPr>
          <w:rFonts w:ascii="Arial" w:cs="Arial" w:eastAsia="Arial" w:hAnsi="Arial"/>
          <w:b/>
          <w:bCs/>
          <w:color w:val="333333"/>
          <w:sz w:val="24"/>
          <w:szCs w:val="24"/>
        </w:rPr>
        <w:t xml:space="preserve">3. PWA Install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After a user completes Unit 1 (not before, not on first load), show a PWA install prompt. The prompt should feel like a natural product moment, not a browser banner. Use the beforeinstallprompt event. Fire pwaInstallPromptShown and pwaInstalled analytics events. The prompt must be controlled by the pwa_install_prompt_enabled feature flag. Write the component and the hook.</w:t>
            </w:r>
          </w:p>
        </w:tc>
      </w:tr>
    </w:tbl>
    <w:p>
      <w:r>
        <w:t xml:space="preserve"/>
      </w:r>
    </w:p>
    <w:p>
      <w:pPr>
        <w:pStyle w:val="Heading3"/>
        <w:spacing w:after="80" w:before="200"/>
      </w:pPr>
      <w:r>
        <w:rPr>
          <w:rFonts w:ascii="Arial" w:cs="Arial" w:eastAsia="Arial" w:hAnsi="Arial"/>
          <w:b/>
          <w:bCs/>
          <w:color w:val="333333"/>
          <w:sz w:val="24"/>
          <w:szCs w:val="24"/>
        </w:rPr>
        <w:t xml:space="preserve">4. Africa's Talking SMS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Set up Africa's Talking SMS for Notho. SMS is used only for two high-priority cases: (1) streak about to break in less than 3 hours for users with 7+ day streaks, (2) a premium payment has failed. Write the Supabase Edge Function for both cases, using Africa's Talking API. Rate: approximately R0.15 per SMS. Include a daily cost cap of R5 total to prevent runaway costs.</w:t>
            </w:r>
          </w:p>
        </w:tc>
      </w:tr>
    </w:tbl>
    <w:p>
      <w:r>
        <w:t xml:space="preserve"/>
      </w:r>
    </w:p>
    <w:p>
      <w:pPr>
        <w:pStyle w:val="Heading3"/>
        <w:spacing w:after="80" w:before="200"/>
      </w:pPr>
      <w:r>
        <w:rPr>
          <w:rFonts w:ascii="Arial" w:cs="Arial" w:eastAsia="Arial" w:hAnsi="Arial"/>
          <w:b/>
          <w:bCs/>
          <w:color w:val="333333"/>
          <w:sz w:val="24"/>
          <w:szCs w:val="24"/>
        </w:rPr>
        <w:t xml:space="preserve">5. Social Share Cards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Set up Vercel OG for Notho share cards. Generate a card when a user completes a course or reaches a streak milestone. The card should show: the user's username, the milestone (e.g., '7-day streak' or 'Budgeting Basics complete'), the Notho logo, and a single motivating line relevant to their goal. Write the OG route and the shareTriggered analytics event call.</w:t>
            </w:r>
          </w:p>
        </w:tc>
      </w:tr>
    </w:tbl>
    <w:p>
      <w:r>
        <w:t xml:space="preserve"/>
      </w:r>
    </w:p>
    <w:p>
      <w:pPr>
        <w:pBdr>
          <w:bottom w:val="single" w:color="CCCCCC" w:sz="4" w:space="1"/>
        </w:pBdr>
        <w:spacing w:after="200" w:before="200"/>
      </w:pPr>
      <w:r>
        <w:t xml:space="preserve"/>
      </w:r>
    </w:p>
    <w:p>
      <w:pPr>
        <w:pStyle w:val="Heading2"/>
        <w:spacing w:after="100" w:before="280"/>
      </w:pPr>
      <w:r>
        <w:rPr>
          <w:rFonts w:ascii="Arial" w:cs="Arial" w:eastAsia="Arial" w:hAnsi="Arial"/>
          <w:b/>
          <w:bCs/>
          <w:color w:val="333333"/>
          <w:sz w:val="28"/>
          <w:szCs w:val="28"/>
        </w:rPr>
        <w:t xml:space="preserve">Phase 2 Exit Checklist</w:t>
      </w:r>
    </w:p>
    <w:p>
      <w:pPr>
        <w:pStyle w:val="ListParagraph"/>
        <w:numPr>
          <w:ilvl w:val="0"/>
          <w:numId w:val="3"/>
        </w:numPr>
        <w:spacing w:after="60" w:before="40"/>
      </w:pPr>
      <w:r>
        <w:rPr>
          <w:rFonts w:ascii="Arial" w:cs="Arial" w:eastAsia="Arial" w:hAnsi="Arial"/>
          <w:sz w:val="22"/>
          <w:szCs w:val="22"/>
        </w:rPr>
        <w:t xml:space="preserve">Stripe webhook handler is live. Completing a test checkout in Stripe test mode updates profiles.plan to 'pro'.</w:t>
      </w:r>
    </w:p>
    <w:p>
      <w:pPr>
        <w:pStyle w:val="ListParagraph"/>
        <w:numPr>
          <w:ilvl w:val="0"/>
          <w:numId w:val="3"/>
        </w:numPr>
        <w:spacing w:after="60" w:before="40"/>
      </w:pPr>
      <w:r>
        <w:rPr>
          <w:rFonts w:ascii="Arial" w:cs="Arial" w:eastAsia="Arial" w:hAnsi="Arial"/>
          <w:sz w:val="22"/>
          <w:szCs w:val="22"/>
        </w:rPr>
        <w:t xml:space="preserve">PayFast notify_url handler is live. Test payment confirmation updates plan correctly.</w:t>
      </w:r>
    </w:p>
    <w:p>
      <w:pPr>
        <w:pStyle w:val="ListParagraph"/>
        <w:numPr>
          <w:ilvl w:val="0"/>
          <w:numId w:val="3"/>
        </w:numPr>
        <w:spacing w:after="60" w:before="40"/>
      </w:pPr>
      <w:r>
        <w:rPr>
          <w:rFonts w:ascii="Arial" w:cs="Arial" w:eastAsia="Arial" w:hAnsi="Arial"/>
          <w:sz w:val="22"/>
          <w:szCs w:val="22"/>
        </w:rPr>
        <w:t xml:space="preserve">Freemium gate blocks Unit 4 and above when paywall_enabled is true.</w:t>
      </w:r>
    </w:p>
    <w:p>
      <w:pPr>
        <w:pStyle w:val="ListParagraph"/>
        <w:numPr>
          <w:ilvl w:val="0"/>
          <w:numId w:val="3"/>
        </w:numPr>
        <w:spacing w:after="60" w:before="40"/>
      </w:pPr>
      <w:r>
        <w:rPr>
          <w:rFonts w:ascii="Arial" w:cs="Arial" w:eastAsia="Arial" w:hAnsi="Arial"/>
          <w:sz w:val="22"/>
          <w:szCs w:val="22"/>
        </w:rPr>
        <w:t xml:space="preserve">paywallShown event fires on every gate encounter.</w:t>
      </w:r>
    </w:p>
    <w:p>
      <w:pPr>
        <w:pStyle w:val="ListParagraph"/>
        <w:numPr>
          <w:ilvl w:val="0"/>
          <w:numId w:val="3"/>
        </w:numPr>
        <w:spacing w:after="60" w:before="40"/>
      </w:pPr>
      <w:r>
        <w:rPr>
          <w:rFonts w:ascii="Arial" w:cs="Arial" w:eastAsia="Arial" w:hAnsi="Arial"/>
          <w:sz w:val="22"/>
          <w:szCs w:val="22"/>
        </w:rPr>
        <w:t xml:space="preserve">PWA install prompt appears after Unit 1 completion, not before.</w:t>
      </w:r>
    </w:p>
    <w:p>
      <w:pPr>
        <w:pStyle w:val="ListParagraph"/>
        <w:numPr>
          <w:ilvl w:val="0"/>
          <w:numId w:val="3"/>
        </w:numPr>
        <w:spacing w:after="60" w:before="40"/>
      </w:pPr>
      <w:r>
        <w:rPr>
          <w:rFonts w:ascii="Arial" w:cs="Arial" w:eastAsia="Arial" w:hAnsi="Arial"/>
          <w:sz w:val="22"/>
          <w:szCs w:val="22"/>
        </w:rPr>
        <w:t xml:space="preserve">pwaInstalled event fires on acceptance.</w:t>
      </w:r>
    </w:p>
    <w:p>
      <w:pPr>
        <w:pStyle w:val="ListParagraph"/>
        <w:numPr>
          <w:ilvl w:val="0"/>
          <w:numId w:val="3"/>
        </w:numPr>
        <w:spacing w:after="60" w:before="40"/>
      </w:pPr>
      <w:r>
        <w:rPr>
          <w:rFonts w:ascii="Arial" w:cs="Arial" w:eastAsia="Arial" w:hAnsi="Arial"/>
          <w:sz w:val="22"/>
          <w:szCs w:val="22"/>
        </w:rPr>
        <w:t xml:space="preserve">Africa's Talking SMS fires for streak-at-risk (7+ day streaks only) and payment failure.</w:t>
      </w:r>
    </w:p>
    <w:p>
      <w:pPr>
        <w:pStyle w:val="ListParagraph"/>
        <w:numPr>
          <w:ilvl w:val="0"/>
          <w:numId w:val="3"/>
        </w:numPr>
        <w:spacing w:after="60" w:before="40"/>
      </w:pPr>
      <w:r>
        <w:rPr>
          <w:rFonts w:ascii="Arial" w:cs="Arial" w:eastAsia="Arial" w:hAnsi="Arial"/>
          <w:sz w:val="22"/>
          <w:szCs w:val="22"/>
        </w:rPr>
        <w:t xml:space="preserve">Daily SMS cost cap is active.</w:t>
      </w:r>
    </w:p>
    <w:p>
      <w:pPr>
        <w:pStyle w:val="ListParagraph"/>
        <w:numPr>
          <w:ilvl w:val="0"/>
          <w:numId w:val="3"/>
        </w:numPr>
        <w:spacing w:after="60" w:before="40"/>
      </w:pPr>
      <w:r>
        <w:rPr>
          <w:rFonts w:ascii="Arial" w:cs="Arial" w:eastAsia="Arial" w:hAnsi="Arial"/>
          <w:sz w:val="22"/>
          <w:szCs w:val="22"/>
        </w:rPr>
        <w:t xml:space="preserve">Vercel OG share cards render correctly for course completion and streak milestones.</w:t>
      </w:r>
    </w:p>
    <w:p>
      <w:pPr>
        <w:pStyle w:val="ListParagraph"/>
        <w:numPr>
          <w:ilvl w:val="0"/>
          <w:numId w:val="3"/>
        </w:numPr>
        <w:spacing w:after="60" w:before="40"/>
      </w:pPr>
      <w:r>
        <w:rPr>
          <w:rFonts w:ascii="Arial" w:cs="Arial" w:eastAsia="Arial" w:hAnsi="Arial"/>
          <w:sz w:val="22"/>
          <w:szCs w:val="22"/>
        </w:rPr>
        <w:t xml:space="preserve">All paywall copy, SMS copy, and share card copy passes the no-AI-writing check.</w:t>
      </w:r>
    </w:p>
    <w:p>
      <w:r>
        <w:t xml:space="preserve"/>
      </w:r>
    </w:p>
    <w:p>
      <w:r>
        <w:br w:type="page"/>
      </w:r>
    </w:p>
    <w:p>
      <w:pPr>
        <w:pStyle w:val="Heading1"/>
        <w:spacing w:after="120" w:before="360"/>
      </w:pPr>
      <w:r>
        <w:rPr>
          <w:rFonts w:ascii="Arial" w:cs="Arial" w:eastAsia="Arial" w:hAnsi="Arial"/>
          <w:b/>
          <w:bCs/>
          <w:color w:val="1A7C4E"/>
          <w:sz w:val="36"/>
          <w:szCs w:val="36"/>
        </w:rPr>
        <w:t xml:space="preserve">Phase 3: Budgeting Intelligence (Months 4 to 9)</w:t>
      </w:r>
    </w:p>
    <w:p>
      <w:pPr>
        <w:spacing w:after="100" w:before="60"/>
      </w:pPr>
      <w:r>
        <w:rPr>
          <w:rFonts w:ascii="Arial" w:cs="Arial" w:eastAsia="Arial" w:hAnsi="Arial"/>
          <w:sz w:val="22"/>
          <w:szCs w:val="22"/>
        </w:rPr>
        <w:t xml:space="preserve">What is getting built: SA bank SMS transaction parsing (regex-based, five major banks), a stokvel savings module, and goal-linked push notifications based on actual spending behaviour.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0000" w:sz="4"/>
              <w:left w:val="single" w:color="CC0000" w:sz="4"/>
              <w:bottom w:val="single" w:color="CC0000" w:sz="4"/>
              <w:right w:val="single" w:color="CC0000" w:sz="4"/>
            </w:tcBorders>
            <w:shd w:fill="FFE8E8" w:val="clear"/>
            <w:tcMar>
              <w:top w:type="dxa" w:w="100"/>
              <w:left w:type="dxa" w:w="160"/>
              <w:bottom w:type="dxa" w:w="100"/>
              <w:right w:type="dxa" w:w="160"/>
            </w:tcMar>
          </w:tcPr>
          <w:p>
            <w:pPr>
              <w:spacing w:after="60" w:before="0"/>
            </w:pPr>
            <w:r>
              <w:rPr>
                <w:rFonts w:ascii="Arial" w:cs="Arial" w:eastAsia="Arial" w:hAnsi="Arial"/>
                <w:b/>
                <w:bCs/>
                <w:color w:val="CC0000"/>
                <w:sz w:val="20"/>
                <w:szCs w:val="20"/>
              </w:rPr>
              <w:t xml:space="preserve">TRUST LAYER</w:t>
            </w:r>
          </w:p>
          <w:p>
            <w:pPr>
              <w:spacing w:after="0" w:before="0"/>
            </w:pPr>
            <w:r>
              <w:rPr>
                <w:rFonts w:ascii="Arial" w:cs="Arial" w:eastAsia="Arial" w:hAnsi="Arial"/>
                <w:sz w:val="22"/>
                <w:szCs w:val="22"/>
              </w:rPr>
              <w:t xml:space="preserve">Before asking users to paste or upload SMS messages, show them exactly what data is extracted, what is discarded, and where it goes. Never store raw SMS content. Store only the parsed amount and category, never the merchant name or account number. This is a POPIA requirement and a trust requirement.</w:t>
            </w:r>
          </w:p>
        </w:tc>
      </w:tr>
    </w:tbl>
    <w:p>
      <w:r>
        <w:t xml:space="preserve"/>
      </w:r>
    </w:p>
    <w:p>
      <w:pPr>
        <w:pStyle w:val="Heading2"/>
        <w:spacing w:after="100" w:before="280"/>
      </w:pPr>
      <w:r>
        <w:rPr>
          <w:rFonts w:ascii="Arial" w:cs="Arial" w:eastAsia="Arial" w:hAnsi="Arial"/>
          <w:b/>
          <w:bCs/>
          <w:color w:val="333333"/>
          <w:sz w:val="28"/>
          <w:szCs w:val="28"/>
        </w:rPr>
        <w:t xml:space="preserve">Prompts for Phase 3</w:t>
      </w:r>
    </w:p>
    <w:p>
      <w:pPr>
        <w:pStyle w:val="Heading3"/>
        <w:spacing w:after="80" w:before="200"/>
      </w:pPr>
      <w:r>
        <w:rPr>
          <w:rFonts w:ascii="Arial" w:cs="Arial" w:eastAsia="Arial" w:hAnsi="Arial"/>
          <w:b/>
          <w:bCs/>
          <w:color w:val="333333"/>
          <w:sz w:val="24"/>
          <w:szCs w:val="24"/>
        </w:rPr>
        <w:t xml:space="preserve">1. SA Bank SMS Parser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Build a client-side SMS transaction parser for South African banks. Target banks: Capitec, FNB, Standard Bank, Nedbank, TymeBank. Each bank uses slightly different SMS formats. The parser must run entirely in the browser (no server call for raw SMS). Extract only: transaction type (debit/credit), amount (rands), and date. Discard everything else immediately. Write regex patterns for each bank, a test suite with 20 real SMS format examples per bank, and the TypeScript parsing module. The POPIA disclosure modal must appear before any parsing happens.</w:t>
            </w:r>
          </w:p>
        </w:tc>
      </w:tr>
    </w:tbl>
    <w:p>
      <w:r>
        <w:t xml:space="preserve"/>
      </w:r>
    </w:p>
    <w:p>
      <w:pPr>
        <w:pStyle w:val="Heading3"/>
        <w:spacing w:after="80" w:before="200"/>
      </w:pPr>
      <w:r>
        <w:rPr>
          <w:rFonts w:ascii="Arial" w:cs="Arial" w:eastAsia="Arial" w:hAnsi="Arial"/>
          <w:b/>
          <w:bCs/>
          <w:color w:val="333333"/>
          <w:sz w:val="24"/>
          <w:szCs w:val="24"/>
        </w:rPr>
        <w:t xml:space="preserve">2. Stokvel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Design and build a stokvel group savings module for Notho. A stokvel is a rotating savings club common in South Africa, with 11 million participants and R50 billion saved annually. The module must: let a user create or join a stokvel, track monthly contributions, show whose turn it is to receive the pot, and calculate each member's total contribution. No money actually moves through Notho. This is a tracking and awareness tool. Write the data model (Supabase tables), the UI components, and a brief lesson on how stokvels work that will appear as a lesson in the app.</w:t>
            </w:r>
          </w:p>
        </w:tc>
      </w:tr>
    </w:tbl>
    <w:p>
      <w:r>
        <w:t xml:space="preserve"/>
      </w:r>
    </w:p>
    <w:p>
      <w:pPr>
        <w:pStyle w:val="Heading3"/>
        <w:spacing w:after="80" w:before="200"/>
      </w:pPr>
      <w:r>
        <w:rPr>
          <w:rFonts w:ascii="Arial" w:cs="Arial" w:eastAsia="Arial" w:hAnsi="Arial"/>
          <w:b/>
          <w:bCs/>
          <w:color w:val="333333"/>
          <w:sz w:val="24"/>
          <w:szCs w:val="24"/>
        </w:rPr>
        <w:t xml:space="preserve">3. Goal-Linked Notifications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Build a goal-linked notification system. After a user logs budget entries, the app calculates whether they are on track for their stated goal (invest, save-for-home, debt-free, emergency-fund). If they are off track for three consecutive weeks, send a push notification with a specific observation and a lesson recommendation. The notification must reference real data (e.g., 'Your food spend this month is 34% above your budget') not generic encouragement. Write the calculation logic, the notification copy templates (one per goal), and the Supabase Edge Function that sends via web push.</w:t>
            </w:r>
          </w:p>
        </w:tc>
      </w:tr>
    </w:tbl>
    <w:p>
      <w:r>
        <w:t xml:space="preserve"/>
      </w:r>
    </w:p>
    <w:p>
      <w:pPr>
        <w:pBdr>
          <w:bottom w:val="single" w:color="CCCCCC" w:sz="4" w:space="1"/>
        </w:pBdr>
        <w:spacing w:after="200" w:before="200"/>
      </w:pPr>
      <w:r>
        <w:t xml:space="preserve"/>
      </w:r>
    </w:p>
    <w:p>
      <w:pPr>
        <w:pStyle w:val="Heading2"/>
        <w:spacing w:after="100" w:before="280"/>
      </w:pPr>
      <w:r>
        <w:rPr>
          <w:rFonts w:ascii="Arial" w:cs="Arial" w:eastAsia="Arial" w:hAnsi="Arial"/>
          <w:b/>
          <w:bCs/>
          <w:color w:val="333333"/>
          <w:sz w:val="28"/>
          <w:szCs w:val="28"/>
        </w:rPr>
        <w:t xml:space="preserve">Phase 3 Exit Checklist</w:t>
      </w:r>
    </w:p>
    <w:p>
      <w:pPr>
        <w:pStyle w:val="ListParagraph"/>
        <w:numPr>
          <w:ilvl w:val="0"/>
          <w:numId w:val="3"/>
        </w:numPr>
        <w:spacing w:after="60" w:before="40"/>
      </w:pPr>
      <w:r>
        <w:rPr>
          <w:rFonts w:ascii="Arial" w:cs="Arial" w:eastAsia="Arial" w:hAnsi="Arial"/>
          <w:sz w:val="22"/>
          <w:szCs w:val="22"/>
        </w:rPr>
        <w:t xml:space="preserve">SMS parser handles all five banks with at least 95% accuracy on the test suite.</w:t>
      </w:r>
    </w:p>
    <w:p>
      <w:pPr>
        <w:pStyle w:val="ListParagraph"/>
        <w:numPr>
          <w:ilvl w:val="0"/>
          <w:numId w:val="3"/>
        </w:numPr>
        <w:spacing w:after="60" w:before="40"/>
      </w:pPr>
      <w:r>
        <w:rPr>
          <w:rFonts w:ascii="Arial" w:cs="Arial" w:eastAsia="Arial" w:hAnsi="Arial"/>
          <w:sz w:val="22"/>
          <w:szCs w:val="22"/>
        </w:rPr>
        <w:t xml:space="preserve">No raw SMS content is ever sent to a server or stored in Supabase.</w:t>
      </w:r>
    </w:p>
    <w:p>
      <w:pPr>
        <w:pStyle w:val="ListParagraph"/>
        <w:numPr>
          <w:ilvl w:val="0"/>
          <w:numId w:val="3"/>
        </w:numPr>
        <w:spacing w:after="60" w:before="40"/>
      </w:pPr>
      <w:r>
        <w:rPr>
          <w:rFonts w:ascii="Arial" w:cs="Arial" w:eastAsia="Arial" w:hAnsi="Arial"/>
          <w:sz w:val="22"/>
          <w:szCs w:val="22"/>
        </w:rPr>
        <w:t xml:space="preserve">POPIA disclosure modal appears before any SMS parsing.</w:t>
      </w:r>
    </w:p>
    <w:p>
      <w:pPr>
        <w:pStyle w:val="ListParagraph"/>
        <w:numPr>
          <w:ilvl w:val="0"/>
          <w:numId w:val="3"/>
        </w:numPr>
        <w:spacing w:after="60" w:before="40"/>
      </w:pPr>
      <w:r>
        <w:rPr>
          <w:rFonts w:ascii="Arial" w:cs="Arial" w:eastAsia="Arial" w:hAnsi="Arial"/>
          <w:sz w:val="22"/>
          <w:szCs w:val="22"/>
        </w:rPr>
        <w:t xml:space="preserve">Stokvel module: create, join, contribute, and rotation display all work correctly.</w:t>
      </w:r>
    </w:p>
    <w:p>
      <w:pPr>
        <w:pStyle w:val="ListParagraph"/>
        <w:numPr>
          <w:ilvl w:val="0"/>
          <w:numId w:val="3"/>
        </w:numPr>
        <w:spacing w:after="60" w:before="40"/>
      </w:pPr>
      <w:r>
        <w:rPr>
          <w:rFonts w:ascii="Arial" w:cs="Arial" w:eastAsia="Arial" w:hAnsi="Arial"/>
          <w:sz w:val="22"/>
          <w:szCs w:val="22"/>
        </w:rPr>
        <w:t xml:space="preserve">Stokvel lesson is written, fact-checked, and uses no AI-detectable language.</w:t>
      </w:r>
    </w:p>
    <w:p>
      <w:pPr>
        <w:pStyle w:val="ListParagraph"/>
        <w:numPr>
          <w:ilvl w:val="0"/>
          <w:numId w:val="3"/>
        </w:numPr>
        <w:spacing w:after="60" w:before="40"/>
      </w:pPr>
      <w:r>
        <w:rPr>
          <w:rFonts w:ascii="Arial" w:cs="Arial" w:eastAsia="Arial" w:hAnsi="Arial"/>
          <w:sz w:val="22"/>
          <w:szCs w:val="22"/>
        </w:rPr>
        <w:t xml:space="preserve">Goal-linked notifications use real budget data, not generic messages.</w:t>
      </w:r>
    </w:p>
    <w:p>
      <w:pPr>
        <w:pStyle w:val="ListParagraph"/>
        <w:numPr>
          <w:ilvl w:val="0"/>
          <w:numId w:val="3"/>
        </w:numPr>
        <w:spacing w:after="60" w:before="40"/>
      </w:pPr>
      <w:r>
        <w:rPr>
          <w:rFonts w:ascii="Arial" w:cs="Arial" w:eastAsia="Arial" w:hAnsi="Arial"/>
          <w:sz w:val="22"/>
          <w:szCs w:val="22"/>
        </w:rPr>
        <w:t xml:space="preserve">Notification accuracy: the figure cited in a notification is verifiable from the user's own budget entries.</w:t>
      </w:r>
    </w:p>
    <w:p>
      <w:r>
        <w:t xml:space="preserve"/>
      </w:r>
    </w:p>
    <w:p>
      <w:r>
        <w:br w:type="page"/>
      </w:r>
    </w:p>
    <w:p>
      <w:pPr>
        <w:pStyle w:val="Heading1"/>
        <w:spacing w:after="120" w:before="360"/>
      </w:pPr>
      <w:r>
        <w:rPr>
          <w:rFonts w:ascii="Arial" w:cs="Arial" w:eastAsia="Arial" w:hAnsi="Arial"/>
          <w:b/>
          <w:bCs/>
          <w:color w:val="1A7C4E"/>
          <w:sz w:val="36"/>
          <w:szCs w:val="36"/>
        </w:rPr>
        <w:t xml:space="preserve">Phase 4: Credentials + B2B (Months 9 to 18)</w:t>
      </w:r>
    </w:p>
    <w:p>
      <w:pPr>
        <w:spacing w:after="100" w:before="60"/>
      </w:pPr>
      <w:r>
        <w:rPr>
          <w:rFonts w:ascii="Arial" w:cs="Arial" w:eastAsia="Arial" w:hAnsi="Arial"/>
          <w:sz w:val="22"/>
          <w:szCs w:val="22"/>
        </w:rPr>
        <w:t xml:space="preserve">What is getting built: verifiable PDF certificates, a B2B employer dashboard showing aggregate-only data, FSCA registration as a financial literacy provider, and conditionally: React Native via Expo if MRR exceeds R15,000.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C0000" w:sz="4"/>
              <w:left w:val="single" w:color="CC0000" w:sz="4"/>
              <w:bottom w:val="single" w:color="CC0000" w:sz="4"/>
              <w:right w:val="single" w:color="CC0000" w:sz="4"/>
            </w:tcBorders>
            <w:shd w:fill="FFE8E8" w:val="clear"/>
            <w:tcMar>
              <w:top w:type="dxa" w:w="100"/>
              <w:left w:type="dxa" w:w="160"/>
              <w:bottom w:type="dxa" w:w="100"/>
              <w:right w:type="dxa" w:w="160"/>
            </w:tcMar>
          </w:tcPr>
          <w:p>
            <w:pPr>
              <w:spacing w:after="60" w:before="0"/>
            </w:pPr>
            <w:r>
              <w:rPr>
                <w:rFonts w:ascii="Arial" w:cs="Arial" w:eastAsia="Arial" w:hAnsi="Arial"/>
                <w:b/>
                <w:bCs/>
                <w:color w:val="CC0000"/>
                <w:sz w:val="20"/>
                <w:szCs w:val="20"/>
              </w:rPr>
              <w:t xml:space="preserve">B2B CONSTRAINT</w:t>
            </w:r>
          </w:p>
          <w:p>
            <w:pPr>
              <w:spacing w:after="0" w:before="0"/>
            </w:pPr>
            <w:r>
              <w:rPr>
                <w:rFonts w:ascii="Arial" w:cs="Arial" w:eastAsia="Arial" w:hAnsi="Arial"/>
                <w:sz w:val="22"/>
                <w:szCs w:val="22"/>
              </w:rPr>
              <w:t xml:space="preserve">The employer dashboard must never show individual user data. It shows aggregate numbers only: total employees enrolled, average lessons completed, average quiz score by department. The word 'employee' does not appear in the user-facing product. Users are learners, not corporate assets.</w:t>
            </w:r>
          </w:p>
        </w:tc>
      </w:tr>
    </w:tbl>
    <w:p>
      <w:r>
        <w:t xml:space="preserve"/>
      </w:r>
    </w:p>
    <w:p>
      <w:pPr>
        <w:pStyle w:val="Heading2"/>
        <w:spacing w:after="100" w:before="280"/>
      </w:pPr>
      <w:r>
        <w:rPr>
          <w:rFonts w:ascii="Arial" w:cs="Arial" w:eastAsia="Arial" w:hAnsi="Arial"/>
          <w:b/>
          <w:bCs/>
          <w:color w:val="333333"/>
          <w:sz w:val="28"/>
          <w:szCs w:val="28"/>
        </w:rPr>
        <w:t xml:space="preserve">Prompts for Phase 4</w:t>
      </w:r>
    </w:p>
    <w:p>
      <w:pPr>
        <w:pStyle w:val="Heading3"/>
        <w:spacing w:after="80" w:before="200"/>
      </w:pPr>
      <w:r>
        <w:rPr>
          <w:rFonts w:ascii="Arial" w:cs="Arial" w:eastAsia="Arial" w:hAnsi="Arial"/>
          <w:b/>
          <w:bCs/>
          <w:color w:val="333333"/>
          <w:sz w:val="24"/>
          <w:szCs w:val="24"/>
        </w:rPr>
        <w:t xml:space="preserve">1. Verifiable Certificates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Build a certificate generation system for Notho. When a user completes a full course, generate a PDF certificate using pdf-lib. The certificate must include: the user's name, the course name, the completion date, a QR code linking to a public verification URL, and the Notho logo. The verification URL (fundiapp.co.za/verify/[uuid]) must show the certificate details without requiring a login. Store the certificate record in Supabase. Write the pdf-lib generation code, the verification API route, and the QR code generation using the qrcode npm package.</w:t>
            </w:r>
          </w:p>
        </w:tc>
      </w:tr>
    </w:tbl>
    <w:p>
      <w:r>
        <w:t xml:space="preserve"/>
      </w:r>
    </w:p>
    <w:p>
      <w:pPr>
        <w:pStyle w:val="Heading3"/>
        <w:spacing w:after="80" w:before="200"/>
      </w:pPr>
      <w:r>
        <w:rPr>
          <w:rFonts w:ascii="Arial" w:cs="Arial" w:eastAsia="Arial" w:hAnsi="Arial"/>
          <w:b/>
          <w:bCs/>
          <w:color w:val="333333"/>
          <w:sz w:val="24"/>
          <w:szCs w:val="24"/>
        </w:rPr>
        <w:t xml:space="preserve">2. B2B Employer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Build a read-only employer dashboard for Notho. Employers get a separate login that shows only: total employees enrolled (where the employer paid for accounts), total lessons completed this month, average quiz score across all enrolled users, and percentage of enrolled users active in the last 7 days. No names, no individual scores, no progress breakdown by person. The dashboard must be POPIA-compliant by design: no personal data ever reaches the employer view. Write the Supabase RLS policies that enforce this, the dashboard UI, and the employer auth flow.</w:t>
            </w:r>
          </w:p>
        </w:tc>
      </w:tr>
    </w:tbl>
    <w:p>
      <w:r>
        <w:t xml:space="preserve"/>
      </w:r>
    </w:p>
    <w:p>
      <w:pPr>
        <w:pStyle w:val="Heading3"/>
        <w:spacing w:after="80" w:before="200"/>
      </w:pPr>
      <w:r>
        <w:rPr>
          <w:rFonts w:ascii="Arial" w:cs="Arial" w:eastAsia="Arial" w:hAnsi="Arial"/>
          <w:b/>
          <w:bCs/>
          <w:color w:val="333333"/>
          <w:sz w:val="24"/>
          <w:szCs w:val="24"/>
        </w:rPr>
        <w:t xml:space="preserve">3. FSCA Registration Preparation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What does Notho need to prepare for FSCA registration as a financial literacy provider? Specifically: what documents are required, what curriculum standards apply, and what is the submission process? Research this using FSCA's official publications and list every requirement. Do not guess or estimate. If a requirement is uncertain, mark it clearly and note the FSCA contact channel for clarification.</w:t>
            </w:r>
          </w:p>
        </w:tc>
      </w:tr>
    </w:tbl>
    <w:p>
      <w:r>
        <w:t xml:space="preserve"/>
      </w:r>
    </w:p>
    <w:p>
      <w:pPr>
        <w:pStyle w:val="Heading3"/>
        <w:spacing w:after="80" w:before="200"/>
      </w:pPr>
      <w:r>
        <w:rPr>
          <w:rFonts w:ascii="Arial" w:cs="Arial" w:eastAsia="Arial" w:hAnsi="Arial"/>
          <w:b/>
          <w:bCs/>
          <w:color w:val="333333"/>
          <w:sz w:val="24"/>
          <w:szCs w:val="24"/>
        </w:rPr>
        <w:t xml:space="preserve">4. React Native / Expo (Conditional)</w:t>
      </w:r>
    </w:p>
    <w:p>
      <w:pPr>
        <w:spacing w:after="100" w:before="60"/>
      </w:pPr>
      <w:r>
        <w:rPr>
          <w:rFonts w:ascii="Arial" w:cs="Arial" w:eastAsia="Arial" w:hAnsi="Arial"/>
          <w:sz w:val="22"/>
          <w:szCs w:val="22"/>
        </w:rPr>
        <w:t xml:space="preserve">Only start this if monthly recurring revenue (MRR) exceeds R15,000.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We have crossed the R15,000 MRR threshold. Design the React Native / Expo migration plan for Notho. The web app must continue to work for existing users. The native app should be a separate codebase that shares: the Supabase client, the analytics module, and the lesson content data structure. It does not need to share UI components. Propose a monorepo structure, the minimal viable feature set for the native app v1, and the App Store and Google Play submission requirements for South Africa.</w:t>
            </w:r>
          </w:p>
        </w:tc>
      </w:tr>
    </w:tbl>
    <w:p>
      <w:r>
        <w:t xml:space="preserve"/>
      </w:r>
    </w:p>
    <w:p>
      <w:pPr>
        <w:pBdr>
          <w:bottom w:val="single" w:color="CCCCCC" w:sz="4" w:space="1"/>
        </w:pBdr>
        <w:spacing w:after="200" w:before="200"/>
      </w:pPr>
      <w:r>
        <w:t xml:space="preserve"/>
      </w:r>
    </w:p>
    <w:p>
      <w:pPr>
        <w:pStyle w:val="Heading2"/>
        <w:spacing w:after="100" w:before="280"/>
      </w:pPr>
      <w:r>
        <w:rPr>
          <w:rFonts w:ascii="Arial" w:cs="Arial" w:eastAsia="Arial" w:hAnsi="Arial"/>
          <w:b/>
          <w:bCs/>
          <w:color w:val="333333"/>
          <w:sz w:val="28"/>
          <w:szCs w:val="28"/>
        </w:rPr>
        <w:t xml:space="preserve">Phase 4 Exit Checklist</w:t>
      </w:r>
    </w:p>
    <w:p>
      <w:pPr>
        <w:pStyle w:val="ListParagraph"/>
        <w:numPr>
          <w:ilvl w:val="0"/>
          <w:numId w:val="3"/>
        </w:numPr>
        <w:spacing w:after="60" w:before="40"/>
      </w:pPr>
      <w:r>
        <w:rPr>
          <w:rFonts w:ascii="Arial" w:cs="Arial" w:eastAsia="Arial" w:hAnsi="Arial"/>
          <w:sz w:val="22"/>
          <w:szCs w:val="22"/>
        </w:rPr>
        <w:t xml:space="preserve">PDF certificates generate correctly with a valid QR code that resolves to the verification URL.</w:t>
      </w:r>
    </w:p>
    <w:p>
      <w:pPr>
        <w:pStyle w:val="ListParagraph"/>
        <w:numPr>
          <w:ilvl w:val="0"/>
          <w:numId w:val="3"/>
        </w:numPr>
        <w:spacing w:after="60" w:before="40"/>
      </w:pPr>
      <w:r>
        <w:rPr>
          <w:rFonts w:ascii="Arial" w:cs="Arial" w:eastAsia="Arial" w:hAnsi="Arial"/>
          <w:sz w:val="22"/>
          <w:szCs w:val="22"/>
        </w:rPr>
        <w:t xml:space="preserve">Verification URL is publicly accessible without login and shows correct certificate data.</w:t>
      </w:r>
    </w:p>
    <w:p>
      <w:pPr>
        <w:pStyle w:val="ListParagraph"/>
        <w:numPr>
          <w:ilvl w:val="0"/>
          <w:numId w:val="3"/>
        </w:numPr>
        <w:spacing w:after="60" w:before="40"/>
      </w:pPr>
      <w:r>
        <w:rPr>
          <w:rFonts w:ascii="Arial" w:cs="Arial" w:eastAsia="Arial" w:hAnsi="Arial"/>
          <w:sz w:val="22"/>
          <w:szCs w:val="22"/>
        </w:rPr>
        <w:t xml:space="preserve">Employer dashboard shows only aggregate data. RLS policies are tested with a query that attempts to access individual user data and returns zero rows.</w:t>
      </w:r>
    </w:p>
    <w:p>
      <w:pPr>
        <w:pStyle w:val="ListParagraph"/>
        <w:numPr>
          <w:ilvl w:val="0"/>
          <w:numId w:val="3"/>
        </w:numPr>
        <w:spacing w:after="60" w:before="40"/>
      </w:pPr>
      <w:r>
        <w:rPr>
          <w:rFonts w:ascii="Arial" w:cs="Arial" w:eastAsia="Arial" w:hAnsi="Arial"/>
          <w:sz w:val="22"/>
          <w:szCs w:val="22"/>
        </w:rPr>
        <w:t xml:space="preserve">FSCA requirements list is complete and sourced from official FSCA publications, not from general knowledge.</w:t>
      </w:r>
    </w:p>
    <w:p>
      <w:pPr>
        <w:pStyle w:val="ListParagraph"/>
        <w:numPr>
          <w:ilvl w:val="0"/>
          <w:numId w:val="3"/>
        </w:numPr>
        <w:spacing w:after="60" w:before="40"/>
      </w:pPr>
      <w:r>
        <w:rPr>
          <w:rFonts w:ascii="Arial" w:cs="Arial" w:eastAsia="Arial" w:hAnsi="Arial"/>
          <w:sz w:val="22"/>
          <w:szCs w:val="22"/>
        </w:rPr>
        <w:t xml:space="preserve">(Conditional) React Native monorepo structure is set up and at least one screen is rendering on a real device.</w:t>
      </w:r>
    </w:p>
    <w:p>
      <w:r>
        <w:t xml:space="preserve"/>
      </w:r>
    </w:p>
    <w:p>
      <w:r>
        <w:br w:type="page"/>
      </w:r>
    </w:p>
    <w:p>
      <w:pPr>
        <w:pStyle w:val="Heading1"/>
        <w:spacing w:after="120" w:before="360"/>
      </w:pPr>
      <w:r>
        <w:rPr>
          <w:rFonts w:ascii="Arial" w:cs="Arial" w:eastAsia="Arial" w:hAnsi="Arial"/>
          <w:b/>
          <w:bCs/>
          <w:color w:val="1A7C4E"/>
          <w:sz w:val="36"/>
          <w:szCs w:val="36"/>
        </w:rPr>
        <w:t xml:space="preserve">Phase 5: Financial Health + Partnerships (Year 2+)</w:t>
      </w:r>
    </w:p>
    <w:p>
      <w:pPr>
        <w:spacing w:after="100" w:before="60"/>
      </w:pPr>
      <w:r>
        <w:rPr>
          <w:rFonts w:ascii="Arial" w:cs="Arial" w:eastAsia="Arial" w:hAnsi="Arial"/>
          <w:sz w:val="22"/>
          <w:szCs w:val="22"/>
        </w:rPr>
        <w:t xml:space="preserve">What is getting built: a financial health score, POPIA-compliant referral partnerships with lenders, content licensing to employers, and a peer mentorship network. These features require trust built over the previous four phases. Do not start this phase early.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00"/>
              <w:left w:type="dxa" w:w="160"/>
              <w:bottom w:type="dxa" w:w="100"/>
              <w:right w:type="dxa" w:w="160"/>
            </w:tcMar>
          </w:tcPr>
          <w:p>
            <w:pPr>
              <w:spacing w:after="60" w:before="0"/>
            </w:pPr>
            <w:r>
              <w:rPr>
                <w:rFonts w:ascii="Arial" w:cs="Arial" w:eastAsia="Arial" w:hAnsi="Arial"/>
                <w:b/>
                <w:bCs/>
                <w:color w:val="1A7C4E"/>
                <w:sz w:val="20"/>
                <w:szCs w:val="20"/>
              </w:rPr>
              <w:t xml:space="preserve">YEAR 2 GATE</w:t>
            </w:r>
          </w:p>
          <w:p>
            <w:pPr>
              <w:spacing w:after="0" w:before="0"/>
            </w:pPr>
            <w:r>
              <w:rPr>
                <w:rFonts w:ascii="Arial" w:cs="Arial" w:eastAsia="Arial" w:hAnsi="Arial"/>
                <w:sz w:val="22"/>
                <w:szCs w:val="22"/>
              </w:rPr>
              <w:t xml:space="preserve">Do not begin Phase 5 until: the 30-day content impact survey shows at least 40% of respondents rating 4 or 5 out of 5, MRR is above R30,000, and at least one FSCA registration milestone has been reached.</w:t>
            </w:r>
          </w:p>
        </w:tc>
      </w:tr>
    </w:tbl>
    <w:p>
      <w:r>
        <w:t xml:space="preserve"/>
      </w:r>
    </w:p>
    <w:p>
      <w:pPr>
        <w:pStyle w:val="Heading2"/>
        <w:spacing w:after="100" w:before="280"/>
      </w:pPr>
      <w:r>
        <w:rPr>
          <w:rFonts w:ascii="Arial" w:cs="Arial" w:eastAsia="Arial" w:hAnsi="Arial"/>
          <w:b/>
          <w:bCs/>
          <w:color w:val="333333"/>
          <w:sz w:val="28"/>
          <w:szCs w:val="28"/>
        </w:rPr>
        <w:t xml:space="preserve">Prompts for Phase 5</w:t>
      </w:r>
    </w:p>
    <w:p>
      <w:pPr>
        <w:pStyle w:val="Heading3"/>
        <w:spacing w:after="80" w:before="200"/>
      </w:pPr>
      <w:r>
        <w:rPr>
          <w:rFonts w:ascii="Arial" w:cs="Arial" w:eastAsia="Arial" w:hAnsi="Arial"/>
          <w:b/>
          <w:bCs/>
          <w:color w:val="333333"/>
          <w:sz w:val="24"/>
          <w:szCs w:val="24"/>
        </w:rPr>
        <w:t xml:space="preserve">1. Financial Health Score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Design a financial health score for Notho users. The score (0 to 100) must be based only on data the user has voluntarily provided inside the app: budget entries, lesson completion, quiz accuracy, and goal progress. It must never require linking a bank account. The score is a diagnostic, not a rating. Include an explanation for every score range that tells the user specifically what to do to improve. Write the scoring algorithm, the component, and the explanation copy for each decile (0-10, 10-20, etc.). Every explanation must be fact-checked.</w:t>
            </w:r>
          </w:p>
        </w:tc>
      </w:tr>
    </w:tbl>
    <w:p>
      <w:r>
        <w:t xml:space="preserve"/>
      </w:r>
    </w:p>
    <w:p>
      <w:pPr>
        <w:pStyle w:val="Heading3"/>
        <w:spacing w:after="80" w:before="200"/>
      </w:pPr>
      <w:r>
        <w:rPr>
          <w:rFonts w:ascii="Arial" w:cs="Arial" w:eastAsia="Arial" w:hAnsi="Arial"/>
          <w:b/>
          <w:bCs/>
          <w:color w:val="333333"/>
          <w:sz w:val="24"/>
          <w:szCs w:val="24"/>
        </w:rPr>
        <w:t xml:space="preserve">2. POPIA-Compliant Lender Partnerships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Design a referral architecture for Notho that connects users to FSCA-registered lenders and financial service providers, while being POPIA-compliant. The user must: see a clear disclosure of what data is shared before any referral happens, actively opt in (no pre-checked boxes), be able to withdraw consent at any time and have their data removed from the partner's records within 30 days. Notho never shares lesson progress, quiz scores, or financial health scores with partners. Write the consent flow, the data sharing contract requirements, and the Supabase tables for consent tracking.</w:t>
            </w:r>
          </w:p>
        </w:tc>
      </w:tr>
    </w:tbl>
    <w:p>
      <w:r>
        <w:t xml:space="preserve"/>
      </w:r>
    </w:p>
    <w:p>
      <w:pPr>
        <w:pStyle w:val="Heading3"/>
        <w:spacing w:after="80" w:before="200"/>
      </w:pPr>
      <w:r>
        <w:rPr>
          <w:rFonts w:ascii="Arial" w:cs="Arial" w:eastAsia="Arial" w:hAnsi="Arial"/>
          <w:b/>
          <w:bCs/>
          <w:color w:val="333333"/>
          <w:sz w:val="24"/>
          <w:szCs w:val="24"/>
        </w:rPr>
        <w:t xml:space="preserve">3. Content Licensing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Design a content licensing model for Notho. Employers can license the Notho curriculum for internal financial wellness programmes. They get: a white-label version of the lessons, aggregate completion reporting, and an FSCA compliance certificate for their CPD records. They do not get the app infrastructure, the gamification system, or any user data. Write the licensing tiers, the pricing model (suggest three tiers based on company headcount), and the technical delivery mechanism (could be an iframe embed, an API, or a separate Next.js deployment).</w:t>
            </w:r>
          </w:p>
        </w:tc>
      </w:tr>
    </w:tbl>
    <w:p>
      <w:r>
        <w:t xml:space="preserve"/>
      </w:r>
    </w:p>
    <w:p>
      <w:pPr>
        <w:pBdr>
          <w:bottom w:val="single" w:color="CCCCCC" w:sz="4" w:space="1"/>
        </w:pBdr>
        <w:spacing w:after="200" w:before="200"/>
      </w:pPr>
      <w:r>
        <w:t xml:space="preserve"/>
      </w:r>
    </w:p>
    <w:p>
      <w:pPr>
        <w:pStyle w:val="Heading2"/>
        <w:spacing w:after="100" w:before="280"/>
      </w:pPr>
      <w:r>
        <w:rPr>
          <w:rFonts w:ascii="Arial" w:cs="Arial" w:eastAsia="Arial" w:hAnsi="Arial"/>
          <w:b/>
          <w:bCs/>
          <w:color w:val="333333"/>
          <w:sz w:val="28"/>
          <w:szCs w:val="28"/>
        </w:rPr>
        <w:t xml:space="preserve">Phase 5 Entry Gates</w:t>
      </w:r>
    </w:p>
    <w:p>
      <w:pPr>
        <w:pStyle w:val="ListParagraph"/>
        <w:numPr>
          <w:ilvl w:val="0"/>
          <w:numId w:val="3"/>
        </w:numPr>
        <w:spacing w:after="60" w:before="40"/>
      </w:pPr>
      <w:r>
        <w:rPr>
          <w:rFonts w:ascii="Arial" w:cs="Arial" w:eastAsia="Arial" w:hAnsi="Arial"/>
          <w:sz w:val="22"/>
          <w:szCs w:val="22"/>
        </w:rPr>
        <w:t xml:space="preserve">30-day content impact survey: at least 40% of respondents have rated 4 or 5 out of 5.</w:t>
      </w:r>
    </w:p>
    <w:p>
      <w:pPr>
        <w:pStyle w:val="ListParagraph"/>
        <w:numPr>
          <w:ilvl w:val="0"/>
          <w:numId w:val="3"/>
        </w:numPr>
        <w:spacing w:after="60" w:before="40"/>
      </w:pPr>
      <w:r>
        <w:rPr>
          <w:rFonts w:ascii="Arial" w:cs="Arial" w:eastAsia="Arial" w:hAnsi="Arial"/>
          <w:sz w:val="22"/>
          <w:szCs w:val="22"/>
        </w:rPr>
        <w:t xml:space="preserve">MRR is confirmed above R30,000.</w:t>
      </w:r>
    </w:p>
    <w:p>
      <w:pPr>
        <w:pStyle w:val="ListParagraph"/>
        <w:numPr>
          <w:ilvl w:val="0"/>
          <w:numId w:val="3"/>
        </w:numPr>
        <w:spacing w:after="60" w:before="40"/>
      </w:pPr>
      <w:r>
        <w:rPr>
          <w:rFonts w:ascii="Arial" w:cs="Arial" w:eastAsia="Arial" w:hAnsi="Arial"/>
          <w:sz w:val="22"/>
          <w:szCs w:val="22"/>
        </w:rPr>
        <w:t xml:space="preserve">At least one FSCA registration milestone is completed.</w:t>
      </w:r>
    </w:p>
    <w:p>
      <w:pPr>
        <w:pStyle w:val="ListParagraph"/>
        <w:numPr>
          <w:ilvl w:val="0"/>
          <w:numId w:val="3"/>
        </w:numPr>
        <w:spacing w:after="60" w:before="40"/>
      </w:pPr>
      <w:r>
        <w:rPr>
          <w:rFonts w:ascii="Arial" w:cs="Arial" w:eastAsia="Arial" w:hAnsi="Arial"/>
          <w:sz w:val="22"/>
          <w:szCs w:val="22"/>
        </w:rPr>
        <w:t xml:space="preserve">PostHog D30 retention cohort shows at least 20% of users who signed up 30+ days ago still active in the last 7 days.</w:t>
      </w:r>
    </w:p>
    <w:p>
      <w:r>
        <w:t xml:space="preserve"/>
      </w:r>
    </w:p>
    <w:p>
      <w:r>
        <w:br w:type="page"/>
      </w:r>
    </w:p>
    <w:p>
      <w:pPr>
        <w:pStyle w:val="Heading1"/>
        <w:spacing w:after="120" w:before="360"/>
      </w:pPr>
      <w:r>
        <w:rPr>
          <w:rFonts w:ascii="Arial" w:cs="Arial" w:eastAsia="Arial" w:hAnsi="Arial"/>
          <w:b/>
          <w:bCs/>
          <w:color w:val="1A7C4E"/>
          <w:sz w:val="36"/>
          <w:szCs w:val="36"/>
        </w:rPr>
        <w:t xml:space="preserve">Learning Content: Accuracy Protocol and Sources</w:t>
      </w:r>
    </w:p>
    <w:p>
      <w:pPr>
        <w:spacing w:after="100" w:before="60"/>
      </w:pPr>
      <w:r>
        <w:rPr>
          <w:rFonts w:ascii="Arial" w:cs="Arial" w:eastAsia="Arial" w:hAnsi="Arial"/>
          <w:sz w:val="22"/>
          <w:szCs w:val="22"/>
        </w:rPr>
        <w:t xml:space="preserve">Every fact in Notho lessons must be verifiable. This chapter tells you where to find the primary sources, what is already in the Learning Material folder, and how to add your UCT EAFM notes.</w:t>
      </w:r>
    </w:p>
    <w:p>
      <w:r>
        <w:t xml:space="preserve"/>
      </w:r>
    </w:p>
    <w:p>
      <w:pPr>
        <w:pStyle w:val="Heading2"/>
        <w:spacing w:after="100" w:before="280"/>
      </w:pPr>
      <w:r>
        <w:rPr>
          <w:rFonts w:ascii="Arial" w:cs="Arial" w:eastAsia="Arial" w:hAnsi="Arial"/>
          <w:b/>
          <w:bCs/>
          <w:color w:val="333333"/>
          <w:sz w:val="28"/>
          <w:szCs w:val="28"/>
        </w:rPr>
        <w:t xml:space="preserve">What Is Already in the Learning Material Folder</w:t>
      </w:r>
    </w:p>
    <w:p>
      <w:pPr>
        <w:spacing w:after="100" w:before="60"/>
      </w:pPr>
      <w:r>
        <w:rPr>
          <w:rFonts w:ascii="Arial" w:cs="Arial" w:eastAsia="Arial" w:hAnsi="Arial"/>
          <w:sz w:val="22"/>
          <w:szCs w:val="22"/>
        </w:rPr>
        <w:t xml:space="preserve">These documents are already in the project and can be referenced when writing or verifying lessons:</w:t>
      </w:r>
    </w:p>
    <w:p>
      <w:pPr>
        <w:pStyle w:val="ListParagraph"/>
        <w:numPr>
          <w:ilvl w:val="0"/>
          <w:numId w:val="2"/>
        </w:numPr>
        <w:spacing w:after="60" w:before="40"/>
      </w:pPr>
      <w:r>
        <w:rPr>
          <w:rFonts w:ascii="Arial" w:cs="Arial" w:eastAsia="Arial" w:hAnsi="Arial"/>
          <w:sz w:val="22"/>
          <w:szCs w:val="22"/>
        </w:rPr>
        <w:t xml:space="preserve">Investments McGraw-Hill 13th Edition: the primary academic source for investment theory, portfolio construction, risk-return, and market mechanics. Use for any lesson on equities, bonds, mutual funds, and portfolio diversification.</w:t>
      </w:r>
    </w:p>
    <w:p>
      <w:pPr>
        <w:pStyle w:val="ListParagraph"/>
        <w:numPr>
          <w:ilvl w:val="0"/>
          <w:numId w:val="2"/>
        </w:numPr>
        <w:spacing w:after="60" w:before="40"/>
      </w:pPr>
      <w:r>
        <w:rPr>
          <w:rFonts w:ascii="Arial" w:cs="Arial" w:eastAsia="Arial" w:hAnsi="Arial"/>
          <w:sz w:val="22"/>
          <w:szCs w:val="22"/>
        </w:rPr>
        <w:t xml:space="preserve">L1 2024 DRVTIVS-AI: UCT EAFM lecture notes on derivatives. Use for any lesson on options, futures, forwards, or hedging strategies. This is your most reliable local academic source.</w:t>
      </w:r>
    </w:p>
    <w:p>
      <w:pPr>
        <w:pStyle w:val="ListParagraph"/>
        <w:numPr>
          <w:ilvl w:val="0"/>
          <w:numId w:val="2"/>
        </w:numPr>
        <w:spacing w:after="60" w:before="40"/>
      </w:pPr>
      <w:r>
        <w:rPr>
          <w:rFonts w:ascii="Arial" w:cs="Arial" w:eastAsia="Arial" w:hAnsi="Arial"/>
          <w:sz w:val="22"/>
          <w:szCs w:val="22"/>
        </w:rPr>
        <w:t xml:space="preserve">Liberty Business Assurance Brochure + Introduction: use for lessons on business assurance, key person insurance, buy-and-sell agreements, and estate planning for business owners.</w:t>
      </w:r>
    </w:p>
    <w:p>
      <w:pPr>
        <w:pStyle w:val="ListParagraph"/>
        <w:numPr>
          <w:ilvl w:val="0"/>
          <w:numId w:val="2"/>
        </w:numPr>
        <w:spacing w:after="60" w:before="40"/>
      </w:pPr>
      <w:r>
        <w:rPr>
          <w:rFonts w:ascii="Arial" w:cs="Arial" w:eastAsia="Arial" w:hAnsi="Arial"/>
          <w:sz w:val="22"/>
          <w:szCs w:val="22"/>
        </w:rPr>
        <w:t xml:space="preserve">STANLIB CIS Product Guide (February 2024): use for lessons on collective investment schemes, unit trusts, tax-free savings accounts, and how to buy and sell CIS units in South Africa.</w:t>
      </w:r>
    </w:p>
    <w:p>
      <w:r>
        <w:t xml:space="preserve"/>
      </w:r>
    </w:p>
    <w:p>
      <w:pPr>
        <w:pStyle w:val="Heading2"/>
        <w:spacing w:after="100" w:before="280"/>
      </w:pPr>
      <w:r>
        <w:rPr>
          <w:rFonts w:ascii="Arial" w:cs="Arial" w:eastAsia="Arial" w:hAnsi="Arial"/>
          <w:b/>
          <w:bCs/>
          <w:color w:val="333333"/>
          <w:sz w:val="28"/>
          <w:szCs w:val="28"/>
        </w:rPr>
        <w:t xml:space="preserve">Where to Add Your UCT EAFM Notes</w:t>
      </w:r>
    </w:p>
    <w:p>
      <w:pPr>
        <w:spacing w:after="100" w:before="60"/>
      </w:pPr>
      <w:r>
        <w:rPr>
          <w:rFonts w:ascii="Arial" w:cs="Arial" w:eastAsia="Arial" w:hAnsi="Arial"/>
          <w:sz w:val="22"/>
          <w:szCs w:val="22"/>
        </w:rPr>
        <w:t xml:space="preserve">Create a folder called 'UCT EAFM' inside the 'Learning Material' folder. Drop in your lecture notes (PDFs, Word docs, or scanned images). Then use this prompt to have Claude map the notes to existing lessons: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I have added UCT EAFM lecture notes to the Learning Material/UCT EAFM folder. Read all the documents in that folder. For each topic covered in the notes, identify the corresponding lesson in src/data/content.ts. Flag any lesson where the app's content contradicts or is more shallow than the lecture notes. Produce a gap analysis: topics in the notes that have no lesson in the app yet.</w:t>
            </w:r>
          </w:p>
        </w:tc>
      </w:tr>
    </w:tbl>
    <w:p>
      <w:r>
        <w:t xml:space="preserve"/>
      </w:r>
    </w:p>
    <w:p>
      <w:pPr>
        <w:pStyle w:val="Heading2"/>
        <w:spacing w:after="100" w:before="280"/>
      </w:pPr>
      <w:r>
        <w:rPr>
          <w:rFonts w:ascii="Arial" w:cs="Arial" w:eastAsia="Arial" w:hAnsi="Arial"/>
          <w:b/>
          <w:bCs/>
          <w:color w:val="333333"/>
          <w:sz w:val="28"/>
          <w:szCs w:val="28"/>
        </w:rPr>
        <w:t xml:space="preserve">Additional Primary Sources to Download</w:t>
      </w:r>
    </w:p>
    <w:p>
      <w:pPr>
        <w:spacing w:after="100" w:before="60"/>
      </w:pPr>
      <w:r>
        <w:rPr>
          <w:rFonts w:ascii="Arial" w:cs="Arial" w:eastAsia="Arial" w:hAnsi="Arial"/>
          <w:sz w:val="22"/>
          <w:szCs w:val="22"/>
        </w:rPr>
        <w:t xml:space="preserve">Download these and add them to Learning Material. They are freely available and authoritative:</w:t>
      </w:r>
    </w:p>
    <w:p>
      <w:pPr>
        <w:pStyle w:val="ListParagraph"/>
        <w:numPr>
          <w:ilvl w:val="0"/>
          <w:numId w:val="2"/>
        </w:numPr>
        <w:spacing w:after="60" w:before="40"/>
      </w:pPr>
      <w:r>
        <w:rPr>
          <w:rFonts w:ascii="Arial" w:cs="Arial" w:eastAsia="Arial" w:hAnsi="Arial"/>
          <w:sz w:val="22"/>
          <w:szCs w:val="22"/>
        </w:rPr>
        <w:t xml:space="preserve">SARS Tax Tables (annual): download from sars.gov.za each February after the budget. Use for any lesson involving income tax brackets, capital gains tax rates, or retirement fund contribution limits. Never use a figure from a secondary source for tax rates.</w:t>
      </w:r>
    </w:p>
    <w:p>
      <w:pPr>
        <w:pStyle w:val="ListParagraph"/>
        <w:numPr>
          <w:ilvl w:val="0"/>
          <w:numId w:val="2"/>
        </w:numPr>
        <w:spacing w:after="60" w:before="40"/>
      </w:pPr>
      <w:r>
        <w:rPr>
          <w:rFonts w:ascii="Arial" w:cs="Arial" w:eastAsia="Arial" w:hAnsi="Arial"/>
          <w:sz w:val="22"/>
          <w:szCs w:val="22"/>
        </w:rPr>
        <w:t xml:space="preserve">SARB Annual Report and Quarterly Bulletins: download from resbank.co.za. Use for the repo rate, inflation figures, and GDP data referenced in any macro-economics lesson.</w:t>
      </w:r>
    </w:p>
    <w:p>
      <w:pPr>
        <w:pStyle w:val="ListParagraph"/>
        <w:numPr>
          <w:ilvl w:val="0"/>
          <w:numId w:val="2"/>
        </w:numPr>
        <w:spacing w:after="60" w:before="40"/>
      </w:pPr>
      <w:r>
        <w:rPr>
          <w:rFonts w:ascii="Arial" w:cs="Arial" w:eastAsia="Arial" w:hAnsi="Arial"/>
          <w:sz w:val="22"/>
          <w:szCs w:val="22"/>
        </w:rPr>
        <w:t xml:space="preserve">National Treasury Budget Review: download from treasury.gov.za each February. Use for government spending figures, national debt levels, and fiscal policy lessons.</w:t>
      </w:r>
    </w:p>
    <w:p>
      <w:pPr>
        <w:pStyle w:val="ListParagraph"/>
        <w:numPr>
          <w:ilvl w:val="0"/>
          <w:numId w:val="2"/>
        </w:numPr>
        <w:spacing w:after="60" w:before="40"/>
      </w:pPr>
      <w:r>
        <w:rPr>
          <w:rFonts w:ascii="Arial" w:cs="Arial" w:eastAsia="Arial" w:hAnsi="Arial"/>
          <w:sz w:val="22"/>
          <w:szCs w:val="22"/>
        </w:rPr>
        <w:t xml:space="preserve">FSCA Financial Literacy Publications: download from fsca.co.za. Use as the framework for what financial literacy curriculum should cover. The FSCA has published a national financial literacy strategy that is directly relevant to what Notho teaches.</w:t>
      </w:r>
    </w:p>
    <w:p>
      <w:pPr>
        <w:pStyle w:val="ListParagraph"/>
        <w:numPr>
          <w:ilvl w:val="0"/>
          <w:numId w:val="2"/>
        </w:numPr>
        <w:spacing w:after="60" w:before="40"/>
      </w:pPr>
      <w:r>
        <w:rPr>
          <w:rFonts w:ascii="Arial" w:cs="Arial" w:eastAsia="Arial" w:hAnsi="Arial"/>
          <w:sz w:val="22"/>
          <w:szCs w:val="22"/>
        </w:rPr>
        <w:t xml:space="preserve">JSE Investor Education Resources: download from jse.co.za/investor-education. Use for any lesson on how the JSE works, listed company basics, and equity market mechanics.</w:t>
      </w:r>
    </w:p>
    <w:p>
      <w:pPr>
        <w:pStyle w:val="ListParagraph"/>
        <w:numPr>
          <w:ilvl w:val="0"/>
          <w:numId w:val="2"/>
        </w:numPr>
        <w:spacing w:after="60" w:before="40"/>
      </w:pPr>
      <w:r>
        <w:rPr>
          <w:rFonts w:ascii="Arial" w:cs="Arial" w:eastAsia="Arial" w:hAnsi="Arial"/>
          <w:sz w:val="22"/>
          <w:szCs w:val="22"/>
        </w:rPr>
        <w:t xml:space="preserve">Banking Association South Africa (BASA) Publications: download from banking.org.za. Use for lessons on banking products, credit, and the National Credit Act.</w:t>
      </w:r>
    </w:p>
    <w:p>
      <w:r>
        <w:t xml:space="preserve"/>
      </w:r>
    </w:p>
    <w:p>
      <w:pPr>
        <w:pStyle w:val="Heading2"/>
        <w:spacing w:after="100" w:before="280"/>
      </w:pPr>
      <w:r>
        <w:rPr>
          <w:rFonts w:ascii="Arial" w:cs="Arial" w:eastAsia="Arial" w:hAnsi="Arial"/>
          <w:b/>
          <w:bCs/>
          <w:color w:val="333333"/>
          <w:sz w:val="28"/>
          <w:szCs w:val="28"/>
        </w:rPr>
        <w:t xml:space="preserve">The Accuracy Check Protocol</w:t>
      </w:r>
    </w:p>
    <w:p>
      <w:pPr>
        <w:spacing w:after="100" w:before="60"/>
      </w:pPr>
      <w:r>
        <w:rPr>
          <w:rFonts w:ascii="Arial" w:cs="Arial" w:eastAsia="Arial" w:hAnsi="Arial"/>
          <w:sz w:val="22"/>
          <w:szCs w:val="22"/>
        </w:rPr>
        <w:t xml:space="preserve">Every time a new lesson is written, before it is committed to the codebase, run this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Review the following lesson content for accuracy. For every fact, statistic, tax rate, or financial definition, tell me: (1) whether it is correct, (2) what the primary source is, and (3) whether it is current as of today. If anything is outdated or unverifiable, flag it clearly. Do not approve anything you cannot verify. [paste lesson content]</w:t>
            </w:r>
          </w:p>
        </w:tc>
      </w:tr>
    </w:tbl>
    <w:p>
      <w:r>
        <w:t xml:space="preserve"/>
      </w:r>
    </w:p>
    <w:p>
      <w:pPr>
        <w:spacing w:after="100" w:before="60"/>
      </w:pPr>
      <w:r>
        <w:rPr>
          <w:rFonts w:ascii="Arial" w:cs="Arial" w:eastAsia="Arial" w:hAnsi="Arial"/>
          <w:sz w:val="22"/>
          <w:szCs w:val="22"/>
        </w:rPr>
        <w:t xml:space="preserve">If a figure cannot be verified against a document in the Learning Material folder or one of the authoritative sources listed above, it does not ship. Remove it or mark it as 'check before publishing'.</w:t>
      </w:r>
    </w:p>
    <w:p>
      <w:r>
        <w:t xml:space="preserve"/>
      </w:r>
    </w:p>
    <w:p>
      <w:pPr>
        <w:pStyle w:val="Heading2"/>
        <w:spacing w:after="100" w:before="280"/>
      </w:pPr>
      <w:r>
        <w:rPr>
          <w:rFonts w:ascii="Arial" w:cs="Arial" w:eastAsia="Arial" w:hAnsi="Arial"/>
          <w:b/>
          <w:bCs/>
          <w:color w:val="333333"/>
          <w:sz w:val="28"/>
          <w:szCs w:val="28"/>
        </w:rPr>
        <w:t xml:space="preserve">The No-AI-Writing Check</w:t>
      </w:r>
    </w:p>
    <w:p>
      <w:pPr>
        <w:spacing w:after="100" w:before="60"/>
      </w:pPr>
      <w:r>
        <w:rPr>
          <w:rFonts w:ascii="Arial" w:cs="Arial" w:eastAsia="Arial" w:hAnsi="Arial"/>
          <w:sz w:val="22"/>
          <w:szCs w:val="22"/>
        </w:rPr>
        <w:t xml:space="preserve">After writing any lesson content, email copy, or UI copy, run the humanizer skill or use this prompt: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7C4E" w:sz="4"/>
              <w:left w:val="single" w:color="1A7C4E" w:sz="4"/>
              <w:bottom w:val="single" w:color="1A7C4E" w:sz="4"/>
              <w:right w:val="single" w:color="1A7C4E" w:sz="4"/>
            </w:tcBorders>
            <w:shd w:fill="E8F5EE" w:val="clear"/>
            <w:tcMar>
              <w:top w:type="dxa" w:w="120"/>
              <w:left w:type="dxa" w:w="160"/>
              <w:bottom w:type="dxa" w:w="120"/>
              <w:right w:type="dxa" w:w="160"/>
            </w:tcMar>
          </w:tcPr>
          <w:p>
            <w:pPr>
              <w:spacing w:after="60" w:before="0"/>
            </w:pPr>
            <w:r>
              <w:rPr>
                <w:rFonts w:ascii="Arial" w:cs="Arial" w:eastAsia="Arial" w:hAnsi="Arial"/>
                <w:b/>
                <w:bCs/>
                <w:color w:val="1A7C4E"/>
                <w:sz w:val="18"/>
                <w:szCs w:val="18"/>
              </w:rPr>
              <w:t xml:space="preserve">PROMPT TO GIVE CLAUDE</w:t>
            </w:r>
          </w:p>
          <w:p>
            <w:pPr>
              <w:spacing w:after="0" w:before="0"/>
            </w:pPr>
            <w:r>
              <w:rPr>
                <w:rFonts w:ascii="Arial" w:cs="Arial" w:eastAsia="Arial" w:hAnsi="Arial"/>
                <w:i/>
                <w:iCs/>
                <w:sz w:val="22"/>
                <w:szCs w:val="22"/>
              </w:rPr>
              <w:t xml:space="preserve">Review the following copy for AI-detectable writing patterns. Specifically check for: em dashes, the rule of three, vague attributions ('studies show', 'experts say'), promotional adjectives (seamless, innovative, cutting-edge), excessive conjunctive phrases ('furthermore', 'moreover', 'in conclusion'), and negative parallelisms ('not just X, but Y'). Rewrite any sentences that have these patterns to sound like a real person explaining something to a friend. Keep all facts intact.</w:t>
            </w:r>
          </w:p>
        </w:tc>
      </w:tr>
    </w:tbl>
    <w:p>
      <w:r>
        <w:t xml:space="preserve"/>
      </w:r>
    </w:p>
    <w:p>
      <w:r>
        <w:br w:type="page"/>
      </w:r>
    </w:p>
    <w:p>
      <w:pPr>
        <w:pStyle w:val="Heading2"/>
        <w:spacing w:after="100" w:before="280"/>
      </w:pPr>
      <w:r>
        <w:rPr>
          <w:rFonts w:ascii="Arial" w:cs="Arial" w:eastAsia="Arial" w:hAnsi="Arial"/>
          <w:b/>
          <w:bCs/>
          <w:color w:val="333333"/>
          <w:sz w:val="28"/>
          <w:szCs w:val="28"/>
        </w:rPr>
        <w:t xml:space="preserve">Quick Reference: Which Source for Which Topic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CCCCCC" w:sz="1"/>
              <w:left w:val="single" w:color="CCCCCC" w:sz="1"/>
              <w:bottom w:val="single" w:color="CCCCCC" w:sz="1"/>
              <w:right w:val="single" w:color="CCCCCC" w:sz="1"/>
            </w:tcBorders>
            <w:shd w:fill="1A7C4E"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5426"/>
            <w:tcBorders>
              <w:top w:val="single" w:color="CCCCCC" w:sz="1"/>
              <w:left w:val="single" w:color="CCCCCC" w:sz="1"/>
              <w:bottom w:val="single" w:color="CCCCCC" w:sz="1"/>
              <w:right w:val="single" w:color="CCCCCC" w:sz="1"/>
            </w:tcBorders>
            <w:shd w:fill="1A7C4E" w:val="clear"/>
            <w:tcMar>
              <w:top w:type="dxa" w:w="80"/>
              <w:left w:type="dxa" w:w="120"/>
              <w:bottom w:type="dxa" w:w="80"/>
              <w:right w:type="dxa" w:w="120"/>
            </w:tcMar>
          </w:tcPr>
          <w:p>
            <w:r>
              <w:rPr>
                <w:rFonts w:ascii="Arial" w:cs="Arial" w:eastAsia="Arial" w:hAnsi="Arial"/>
                <w:b/>
                <w:bCs/>
                <w:color w:val="FFFFFF"/>
                <w:sz w:val="20"/>
                <w:szCs w:val="20"/>
              </w:rPr>
              <w:t xml:space="preserve">Primary Source</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Income tax brackets and rates</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SARS Tax Tables (download annually from sars.gov.za)</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Capital gains tax</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SARS Tax Tables + SARS CGT Guide</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Retirement annuity contribution limits</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SARS Tax Tables (section 11F)</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Tax-free savings account rules</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STANLIB CIS Guide + SARS</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Unit trusts and collective investment schemes</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STANLIB CIS Guide (February 2024)</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Equity market mechanics and JSE</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McGraw-Hill Investments 13th Ed + JSE Education</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Portfolio theory and diversification</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McGraw-Hill Investments 13th Ed</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Derivatives: options, futures, forwards</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UCT EAFM Lecture Notes (L1 2024 DRVTIVS-AI)</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Business assurance and key person cover</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Liberty Business Assurance Introduction</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Buy-and-sell agreements</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Liberty Business Assurance Introduction</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Inflation and interest rates</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SARB Quarterly Bulletin</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Repo rate</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SARB website (updated after each MPC meeting)</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National Credit Act and credit rules</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Banking Association SA + National Credit Regulator</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Stokvels and informal savings</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NASASA (National Stokvel Association of SA) publications</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Financial literacy curriculum framework</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FSCA National Financial Literacy Strategy</w:t>
            </w:r>
          </w:p>
        </w:tc>
      </w:tr>
      <w:tr>
        <w:tc>
          <w:tcPr>
            <w:tcW w:type="dxa" w:w="36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r>
              <w:rPr>
                <w:rFonts w:ascii="Arial" w:cs="Arial" w:eastAsia="Arial" w:hAnsi="Arial"/>
                <w:sz w:val="20"/>
                <w:szCs w:val="20"/>
              </w:rPr>
              <w:t xml:space="preserve">GDP and fiscal policy</w:t>
            </w:r>
          </w:p>
        </w:tc>
        <w:tc>
          <w:tcPr>
            <w:tcW w:type="dxa" w:w="5426"/>
            <w:tcBorders>
              <w:top w:val="single" w:color="CCCCCC" w:sz="1"/>
              <w:left w:val="single" w:color="CCCCCC" w:sz="1"/>
              <w:bottom w:val="single" w:color="CCCCCC" w:sz="1"/>
              <w:right w:val="single" w:color="CCCCCC" w:sz="1"/>
            </w:tcBorders>
            <w:tcMar>
              <w:top w:type="dxa" w:w="60"/>
              <w:left w:type="dxa" w:w="120"/>
              <w:bottom w:type="dxa" w:w="60"/>
              <w:right w:type="dxa" w:w="120"/>
            </w:tcMar>
          </w:tcPr>
          <w:p>
            <w:r>
              <w:rPr>
                <w:rFonts w:ascii="Arial" w:cs="Arial" w:eastAsia="Arial" w:hAnsi="Arial"/>
                <w:sz w:val="20"/>
                <w:szCs w:val="20"/>
              </w:rPr>
              <w:t xml:space="preserve">National Treasury Budget Review</w:t>
            </w:r>
          </w:p>
        </w:tc>
      </w:tr>
    </w:tbl>
    <w:p>
      <w: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C4E" w:sz="4" w:space="1"/>
      </w:pBdr>
      <w:tabs>
        <w:tab w:val="right" w:pos="9026"/>
      </w:tabs>
    </w:pPr>
    <w:r>
      <w:rPr>
        <w:rFonts w:ascii="Arial" w:cs="Arial" w:eastAsia="Arial" w:hAnsi="Arial"/>
        <w:b/>
        <w:bCs/>
        <w:color w:val="1A7C4E"/>
        <w:sz w:val="18"/>
        <w:szCs w:val="18"/>
      </w:rPr>
      <w:t xml:space="preserve">Notho Build Playbook</w:t>
    </w:r>
    <w:r>
      <w:rPr>
        <w:rFonts w:ascii="Arial" w:cs="Arial" w:eastAsia="Arial" w:hAnsi="Arial"/>
        <w:sz w:val="18"/>
        <w:szCs w:val="18"/>
      </w:rPr>
      <w:t xml:space="preserve">	</w:t>
    </w:r>
    <w:r>
      <w:rPr>
        <w:rFonts w:ascii="Arial" w:cs="Arial" w:eastAsia="Arial" w:hAnsi="Arial"/>
        <w:color w:val="888888"/>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7C4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333333"/>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2026-05-01T11:25:02.003Z</dcterms:created>
  <dcterms:modified xsi:type="dcterms:W3CDTF">2026-05-01T11:25:02.004Z</dcterms:modified>
</cp:coreProperties>
</file>

<file path=docProps/custom.xml><?xml version="1.0" encoding="utf-8"?>
<Properties xmlns="http://schemas.openxmlformats.org/officeDocument/2006/custom-properties" xmlns:vt="http://schemas.openxmlformats.org/officeDocument/2006/docPropsVTypes"/>
</file>