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CBE2" w14:textId="77777777" w:rsidR="004000BC" w:rsidRPr="004000BC" w:rsidRDefault="004000BC" w:rsidP="00400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00BC">
        <w:rPr>
          <w:rFonts w:ascii="Times New Roman" w:eastAsia="Times New Roman" w:hAnsi="Times New Roman" w:cs="Times New Roman"/>
          <w:b/>
          <w:bCs/>
          <w:kern w:val="36"/>
          <w:sz w:val="48"/>
          <w:szCs w:val="48"/>
          <w:lang w:eastAsia="en-GB"/>
          <w14:ligatures w14:val="none"/>
        </w:rPr>
        <w:t>Fundi Finance: Honest Market and Academic Assessment</w:t>
      </w:r>
    </w:p>
    <w:p w14:paraId="373B6E40"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Prepared for:</w:t>
      </w:r>
      <w:r w:rsidRPr="004000BC">
        <w:rPr>
          <w:rFonts w:ascii="Times New Roman" w:eastAsia="Times New Roman" w:hAnsi="Times New Roman" w:cs="Times New Roman"/>
          <w:kern w:val="0"/>
          <w:lang w:eastAsia="en-GB"/>
          <w14:ligatures w14:val="none"/>
        </w:rPr>
        <w:t xml:space="preserve"> Kwanele Ntshangase, Founder, Fundi Finance (fundiapp.co.za) </w:t>
      </w:r>
      <w:r w:rsidRPr="004000BC">
        <w:rPr>
          <w:rFonts w:ascii="Times New Roman" w:eastAsia="Times New Roman" w:hAnsi="Times New Roman" w:cs="Times New Roman"/>
          <w:b/>
          <w:bCs/>
          <w:kern w:val="0"/>
          <w:lang w:eastAsia="en-GB"/>
          <w14:ligatures w14:val="none"/>
        </w:rPr>
        <w:t>Date:</w:t>
      </w:r>
      <w:r w:rsidRPr="004000BC">
        <w:rPr>
          <w:rFonts w:ascii="Times New Roman" w:eastAsia="Times New Roman" w:hAnsi="Times New Roman" w:cs="Times New Roman"/>
          <w:kern w:val="0"/>
          <w:lang w:eastAsia="en-GB"/>
          <w14:ligatures w14:val="none"/>
        </w:rPr>
        <w:t xml:space="preserve"> 13 May 2026 </w:t>
      </w:r>
      <w:r w:rsidRPr="004000BC">
        <w:rPr>
          <w:rFonts w:ascii="Times New Roman" w:eastAsia="Times New Roman" w:hAnsi="Times New Roman" w:cs="Times New Roman"/>
          <w:b/>
          <w:bCs/>
          <w:kern w:val="0"/>
          <w:lang w:eastAsia="en-GB"/>
          <w14:ligatures w14:val="none"/>
        </w:rPr>
        <w:t>Scope:</w:t>
      </w:r>
      <w:r w:rsidRPr="004000BC">
        <w:rPr>
          <w:rFonts w:ascii="Times New Roman" w:eastAsia="Times New Roman" w:hAnsi="Times New Roman" w:cs="Times New Roman"/>
          <w:kern w:val="0"/>
          <w:lang w:eastAsia="en-GB"/>
          <w14:ligatures w14:val="none"/>
        </w:rPr>
        <w:t xml:space="preserve"> Independent, evidence-led validation across six dimensions: problem, demand, competition, behavioural science, market sizing, risks. ICP recommendation derived from the evidence, not assumed.</w:t>
      </w:r>
    </w:p>
    <w:p w14:paraId="7E015C39" w14:textId="77777777" w:rsidR="004000BC" w:rsidRPr="004000BC" w:rsidRDefault="00054882" w:rsidP="004000BC">
      <w:pPr>
        <w:spacing w:after="0" w:line="240" w:lineRule="auto"/>
        <w:rPr>
          <w:rFonts w:ascii="Times New Roman" w:eastAsia="Times New Roman" w:hAnsi="Times New Roman" w:cs="Times New Roman"/>
          <w:kern w:val="0"/>
          <w:lang w:eastAsia="en-GB"/>
          <w14:ligatures w14:val="none"/>
        </w:rPr>
      </w:pPr>
      <w:r w:rsidRPr="00054882">
        <w:rPr>
          <w:rFonts w:ascii="Times New Roman" w:eastAsia="Times New Roman" w:hAnsi="Times New Roman" w:cs="Times New Roman"/>
          <w:noProof/>
          <w:kern w:val="0"/>
          <w:lang w:eastAsia="en-GB"/>
        </w:rPr>
        <w:pict w14:anchorId="1FDC0078">
          <v:rect id="_x0000_i1036" alt="" style="width:451.3pt;height:.05pt;mso-width-percent:0;mso-height-percent:0;mso-width-percent:0;mso-height-percent:0" o:hralign="center" o:hrstd="t" o:hr="t" fillcolor="#a0a0a0" stroked="f"/>
        </w:pict>
      </w:r>
    </w:p>
    <w:p w14:paraId="153BE1C8"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1. Executive summary — the hardest truths first</w:t>
      </w:r>
    </w:p>
    <w:p w14:paraId="35517EDD"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problem is real. The thesis as currently framed is partially wrong. The brand name is a hard collision. The ICP is almost certainly not 18–35 broad.</w:t>
      </w:r>
      <w:r w:rsidRPr="004000BC">
        <w:rPr>
          <w:rFonts w:ascii="Times New Roman" w:eastAsia="Times New Roman" w:hAnsi="Times New Roman" w:cs="Times New Roman"/>
          <w:kern w:val="0"/>
          <w:lang w:eastAsia="en-GB"/>
          <w14:ligatures w14:val="none"/>
        </w:rPr>
        <w:t xml:space="preserve"> That is the honest order in which the founder should absorb what follows.</w:t>
      </w:r>
    </w:p>
    <w:p w14:paraId="127CA98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Five findings the deck must confront before fundraising or build:</w:t>
      </w:r>
    </w:p>
    <w:p w14:paraId="538026DC"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"Fundi" is already a R10-billion-plus financial-services brand.</w:t>
      </w:r>
      <w:r w:rsidRPr="004000BC">
        <w:rPr>
          <w:rFonts w:ascii="Times New Roman" w:eastAsia="Times New Roman" w:hAnsi="Times New Roman" w:cs="Times New Roman"/>
          <w:kern w:val="0"/>
          <w:lang w:eastAsia="en-GB"/>
          <w14:ligatures w14:val="none"/>
        </w:rPr>
        <w:t xml:space="preserve"> Fundi Capital (Pty) Ltd — formerly Eduloan, founded 1996, 40% owned by the Government Employees Pension Fund and 16.5% by Standard Bank — has issued </w:t>
      </w:r>
      <w:r w:rsidRPr="004000BC">
        <w:rPr>
          <w:rFonts w:ascii="Times New Roman" w:eastAsia="Times New Roman" w:hAnsi="Times New Roman" w:cs="Times New Roman"/>
          <w:b/>
          <w:bCs/>
          <w:kern w:val="0"/>
          <w:lang w:eastAsia="en-GB"/>
          <w14:ligatures w14:val="none"/>
        </w:rPr>
        <w:t>over 900,000 education loans and administered more than R10 billion in bursary funds</w:t>
      </w:r>
      <w:r w:rsidRPr="004000BC">
        <w:rPr>
          <w:rFonts w:ascii="Times New Roman" w:eastAsia="Times New Roman" w:hAnsi="Times New Roman" w:cs="Times New Roman"/>
          <w:kern w:val="0"/>
          <w:lang w:eastAsia="en-GB"/>
          <w14:ligatures w14:val="none"/>
        </w:rPr>
        <w:t xml:space="preserve"> (Fundi Capital, </w:t>
      </w:r>
      <w:r w:rsidRPr="004000BC">
        <w:rPr>
          <w:rFonts w:ascii="Times New Roman" w:eastAsia="Times New Roman" w:hAnsi="Times New Roman" w:cs="Times New Roman"/>
          <w:i/>
          <w:iCs/>
          <w:kern w:val="0"/>
          <w:lang w:eastAsia="en-GB"/>
          <w14:ligatures w14:val="none"/>
        </w:rPr>
        <w:t>About Fundi</w:t>
      </w:r>
      <w:r w:rsidRPr="004000BC">
        <w:rPr>
          <w:rFonts w:ascii="Times New Roman" w:eastAsia="Times New Roman" w:hAnsi="Times New Roman" w:cs="Times New Roman"/>
          <w:kern w:val="0"/>
          <w:lang w:eastAsia="en-GB"/>
          <w14:ligatures w14:val="none"/>
        </w:rPr>
        <w:t xml:space="preserve">, fundifinance.co.za/about-fundi.php; Public Investment Corporation, </w:t>
      </w:r>
      <w:r w:rsidRPr="004000BC">
        <w:rPr>
          <w:rFonts w:ascii="Times New Roman" w:eastAsia="Times New Roman" w:hAnsi="Times New Roman" w:cs="Times New Roman"/>
          <w:i/>
          <w:iCs/>
          <w:kern w:val="0"/>
          <w:lang w:eastAsia="en-GB"/>
          <w14:ligatures w14:val="none"/>
        </w:rPr>
        <w:t>Fundi Capital Unlisted Investment Disclosure, 31 March 2018</w:t>
      </w:r>
      <w:r w:rsidRPr="004000BC">
        <w:rPr>
          <w:rFonts w:ascii="Times New Roman" w:eastAsia="Times New Roman" w:hAnsi="Times New Roman" w:cs="Times New Roman"/>
          <w:kern w:val="0"/>
          <w:lang w:eastAsia="en-GB"/>
          <w14:ligatures w14:val="none"/>
        </w:rPr>
        <w:t>, pic.gov.za). The domain fundifinance.co.za is currently Fundi Capital's own corporate site. This is not a soft naming overlap; it is a SEO, trademark and consumer-confusion problem that needs to be resolved before anything else.</w:t>
      </w:r>
    </w:p>
    <w:p w14:paraId="765FB410"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most-cited evidence in the field says financial education changes behaviour weakly and temporarily.</w:t>
      </w:r>
      <w:r w:rsidRPr="004000BC">
        <w:rPr>
          <w:rFonts w:ascii="Times New Roman" w:eastAsia="Times New Roman" w:hAnsi="Times New Roman" w:cs="Times New Roman"/>
          <w:kern w:val="0"/>
          <w:lang w:eastAsia="en-GB"/>
          <w14:ligatures w14:val="none"/>
        </w:rPr>
        <w:t xml:space="preserve"> Fernandes, Lynch &amp; Netemeyer (2014, </w:t>
      </w:r>
      <w:r w:rsidRPr="004000BC">
        <w:rPr>
          <w:rFonts w:ascii="Times New Roman" w:eastAsia="Times New Roman" w:hAnsi="Times New Roman" w:cs="Times New Roman"/>
          <w:i/>
          <w:iCs/>
          <w:kern w:val="0"/>
          <w:lang w:eastAsia="en-GB"/>
          <w14:ligatures w14:val="none"/>
        </w:rPr>
        <w:t>Management Science</w:t>
      </w:r>
      <w:r w:rsidRPr="004000BC">
        <w:rPr>
          <w:rFonts w:ascii="Times New Roman" w:eastAsia="Times New Roman" w:hAnsi="Times New Roman" w:cs="Times New Roman"/>
          <w:kern w:val="0"/>
          <w:lang w:eastAsia="en-GB"/>
          <w14:ligatures w14:val="none"/>
        </w:rPr>
        <w:t xml:space="preserve"> 60(8): 1861–1883, DOI 10.1287/mnsc.2013.1849) meta-analysed 168 papers and found "</w:t>
      </w:r>
      <w:r w:rsidRPr="004000BC">
        <w:rPr>
          <w:rFonts w:ascii="Times New Roman" w:eastAsia="Times New Roman" w:hAnsi="Times New Roman" w:cs="Times New Roman"/>
          <w:b/>
          <w:bCs/>
          <w:kern w:val="0"/>
          <w:lang w:eastAsia="en-GB"/>
          <w14:ligatures w14:val="none"/>
        </w:rPr>
        <w:t>interventions to improve financial literacy explain only 0.1% of the variance in financial behaviors studied, with weaker effects in low-income samples</w:t>
      </w:r>
      <w:r w:rsidRPr="004000BC">
        <w:rPr>
          <w:rFonts w:ascii="Times New Roman" w:eastAsia="Times New Roman" w:hAnsi="Times New Roman" w:cs="Times New Roman"/>
          <w:kern w:val="0"/>
          <w:lang w:eastAsia="en-GB"/>
          <w14:ligatures w14:val="none"/>
        </w:rPr>
        <w:t xml:space="preserve">" and effects decay to negligible within 20 months. The newer Kaiser, Lusardi, Menkhoff &amp; Urban (2022, </w:t>
      </w:r>
      <w:r w:rsidRPr="004000BC">
        <w:rPr>
          <w:rFonts w:ascii="Times New Roman" w:eastAsia="Times New Roman" w:hAnsi="Times New Roman" w:cs="Times New Roman"/>
          <w:i/>
          <w:iCs/>
          <w:kern w:val="0"/>
          <w:lang w:eastAsia="en-GB"/>
          <w14:ligatures w14:val="none"/>
        </w:rPr>
        <w:t>Journal of Financial Economics</w:t>
      </w:r>
      <w:r w:rsidRPr="004000BC">
        <w:rPr>
          <w:rFonts w:ascii="Times New Roman" w:eastAsia="Times New Roman" w:hAnsi="Times New Roman" w:cs="Times New Roman"/>
          <w:kern w:val="0"/>
          <w:lang w:eastAsia="en-GB"/>
          <w14:ligatures w14:val="none"/>
        </w:rPr>
        <w:t xml:space="preserve"> 145(2): 255–272) meta-analysis of 76 RCTs partially rehabilitates the case — bias-adjusted effects of </w:t>
      </w:r>
      <w:r w:rsidRPr="004000BC">
        <w:rPr>
          <w:rFonts w:ascii="Times New Roman" w:eastAsia="Times New Roman" w:hAnsi="Times New Roman" w:cs="Times New Roman"/>
          <w:b/>
          <w:bCs/>
          <w:kern w:val="0"/>
          <w:lang w:eastAsia="en-GB"/>
          <w14:ligatures w14:val="none"/>
        </w:rPr>
        <w:t>0.057 SD on behaviour and 0.15 SD on knowledge</w:t>
      </w:r>
      <w:r w:rsidRPr="004000BC">
        <w:rPr>
          <w:rFonts w:ascii="Times New Roman" w:eastAsia="Times New Roman" w:hAnsi="Times New Roman" w:cs="Times New Roman"/>
          <w:kern w:val="0"/>
          <w:lang w:eastAsia="en-GB"/>
          <w14:ligatures w14:val="none"/>
        </w:rPr>
        <w:t xml:space="preserve"> — but these are still small. The thesis "teach finance through micro-lessons and behaviour will follow" is academically unsupported in its naive form.</w:t>
      </w:r>
    </w:p>
    <w:p w14:paraId="508BCA77"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closest SA precedent took 13 years, went paid→free→insurer-owned→rebrand, and never reached escape velocity.</w:t>
      </w:r>
      <w:r w:rsidRPr="004000BC">
        <w:rPr>
          <w:rFonts w:ascii="Times New Roman" w:eastAsia="Times New Roman" w:hAnsi="Times New Roman" w:cs="Times New Roman"/>
          <w:kern w:val="0"/>
          <w:lang w:eastAsia="en-GB"/>
          <w14:ligatures w14:val="none"/>
        </w:rPr>
        <w:t xml:space="preserve"> 22seven launched 2012 at R70/month, dropped to R25, went free in September 2014 because "paying a subscription is an obstacle" (Davel quoted in TechCentral, 2014, techcentral.co.za/22seven-ditches-subscription-fee/190738/), was absorbed in-house by Old Mutual in 2017, lost its investment functionality in August 2021, and rebranded to Vault22 in November 2024 with </w:t>
      </w:r>
      <w:r w:rsidRPr="004000BC">
        <w:rPr>
          <w:rFonts w:ascii="Times New Roman" w:eastAsia="Times New Roman" w:hAnsi="Times New Roman" w:cs="Times New Roman"/>
          <w:b/>
          <w:bCs/>
          <w:kern w:val="0"/>
          <w:lang w:eastAsia="en-GB"/>
          <w14:ligatures w14:val="none"/>
        </w:rPr>
        <w:t>only ~200,000 pre-registered users</w:t>
      </w:r>
      <w:r w:rsidRPr="004000BC">
        <w:rPr>
          <w:rFonts w:ascii="Times New Roman" w:eastAsia="Times New Roman" w:hAnsi="Times New Roman" w:cs="Times New Roman"/>
          <w:kern w:val="0"/>
          <w:lang w:eastAsia="en-GB"/>
          <w14:ligatures w14:val="none"/>
        </w:rPr>
        <w:t xml:space="preserve"> after backing from Standard Chartered's SC Ventures and Old Mutual's NEXT176 (Old Mutual press release, 5 November 2024, oldmutual.co.za/news/22seven-</w:t>
      </w:r>
      <w:r w:rsidRPr="004000BC">
        <w:rPr>
          <w:rFonts w:ascii="Times New Roman" w:eastAsia="Times New Roman" w:hAnsi="Times New Roman" w:cs="Times New Roman"/>
          <w:kern w:val="0"/>
          <w:lang w:eastAsia="en-GB"/>
          <w14:ligatures w14:val="none"/>
        </w:rPr>
        <w:lastRenderedPageBreak/>
        <w:t xml:space="preserve">rebrands-to-vault22). The standalone-PFM-app business has been </w:t>
      </w:r>
      <w:r w:rsidRPr="004000BC">
        <w:rPr>
          <w:rFonts w:ascii="Times New Roman" w:eastAsia="Times New Roman" w:hAnsi="Times New Roman" w:cs="Times New Roman"/>
          <w:i/>
          <w:iCs/>
          <w:kern w:val="0"/>
          <w:lang w:eastAsia="en-GB"/>
          <w14:ligatures w14:val="none"/>
        </w:rPr>
        <w:t>tested and effectively failed</w:t>
      </w:r>
      <w:r w:rsidRPr="004000BC">
        <w:rPr>
          <w:rFonts w:ascii="Times New Roman" w:eastAsia="Times New Roman" w:hAnsi="Times New Roman" w:cs="Times New Roman"/>
          <w:kern w:val="0"/>
          <w:lang w:eastAsia="en-GB"/>
          <w14:ligatures w14:val="none"/>
        </w:rPr>
        <w:t xml:space="preserve"> as a unit in SA.</w:t>
      </w:r>
    </w:p>
    <w:p w14:paraId="1DE30C6D"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two-pot data flips the assumed ICP.</w:t>
      </w:r>
      <w:r w:rsidRPr="004000BC">
        <w:rPr>
          <w:rFonts w:ascii="Times New Roman" w:eastAsia="Times New Roman" w:hAnsi="Times New Roman" w:cs="Times New Roman"/>
          <w:kern w:val="0"/>
          <w:lang w:eastAsia="en-GB"/>
          <w14:ligatures w14:val="none"/>
        </w:rPr>
        <w:t xml:space="preserve"> SARS recorded </w:t>
      </w:r>
      <w:r w:rsidRPr="004000BC">
        <w:rPr>
          <w:rFonts w:ascii="Times New Roman" w:eastAsia="Times New Roman" w:hAnsi="Times New Roman" w:cs="Times New Roman"/>
          <w:b/>
          <w:bCs/>
          <w:kern w:val="0"/>
          <w:lang w:eastAsia="en-GB"/>
          <w14:ligatures w14:val="none"/>
        </w:rPr>
        <w:t>2,664,279 withdrawal applications, 2,403,379 approved, R43.42 billion paid out by 31 January 2025</w:t>
      </w:r>
      <w:r w:rsidRPr="004000BC">
        <w:rPr>
          <w:rFonts w:ascii="Times New Roman" w:eastAsia="Times New Roman" w:hAnsi="Times New Roman" w:cs="Times New Roman"/>
          <w:kern w:val="0"/>
          <w:lang w:eastAsia="en-GB"/>
          <w14:ligatures w14:val="none"/>
        </w:rPr>
        <w:t xml:space="preserve"> (SARS Media Release, 31 January 2025, sars.gov.za/latest-news/media-release-more-than-2-million-taxpayers-withdraw-from-their-savings-pot). The dominant age band of withdrawers is </w:t>
      </w:r>
      <w:r w:rsidRPr="004000BC">
        <w:rPr>
          <w:rFonts w:ascii="Times New Roman" w:eastAsia="Times New Roman" w:hAnsi="Times New Roman" w:cs="Times New Roman"/>
          <w:b/>
          <w:bCs/>
          <w:kern w:val="0"/>
          <w:lang w:eastAsia="en-GB"/>
          <w14:ligatures w14:val="none"/>
        </w:rPr>
        <w:t>35–44 (42%)</w:t>
      </w:r>
      <w:r w:rsidRPr="004000BC">
        <w:rPr>
          <w:rFonts w:ascii="Times New Roman" w:eastAsia="Times New Roman" w:hAnsi="Times New Roman" w:cs="Times New Roman"/>
          <w:kern w:val="0"/>
          <w:lang w:eastAsia="en-GB"/>
          <w14:ligatures w14:val="none"/>
        </w:rPr>
        <w:t xml:space="preserve">, with 45–54 at 28% and 25–34 only 22% (Sanlam Corporate, </w:t>
      </w:r>
      <w:r w:rsidRPr="004000BC">
        <w:rPr>
          <w:rFonts w:ascii="Times New Roman" w:eastAsia="Times New Roman" w:hAnsi="Times New Roman" w:cs="Times New Roman"/>
          <w:i/>
          <w:iCs/>
          <w:kern w:val="0"/>
          <w:lang w:eastAsia="en-GB"/>
          <w14:ligatures w14:val="none"/>
        </w:rPr>
        <w:t>Two-pot withdrawals by age</w:t>
      </w:r>
      <w:r w:rsidRPr="004000BC">
        <w:rPr>
          <w:rFonts w:ascii="Times New Roman" w:eastAsia="Times New Roman" w:hAnsi="Times New Roman" w:cs="Times New Roman"/>
          <w:kern w:val="0"/>
          <w:lang w:eastAsia="en-GB"/>
          <w14:ligatures w14:val="none"/>
        </w:rPr>
        <w:t xml:space="preserve">, in The Citizen, 2025, citizen.co.za/business/personal-finance/two-pot-retirement-system-consumers-drawing-as-much-and-as-often-as-they-can). The most financially anxious, most behaviourally responsive segment is </w:t>
      </w:r>
      <w:r w:rsidRPr="004000BC">
        <w:rPr>
          <w:rFonts w:ascii="Times New Roman" w:eastAsia="Times New Roman" w:hAnsi="Times New Roman" w:cs="Times New Roman"/>
          <w:b/>
          <w:bCs/>
          <w:kern w:val="0"/>
          <w:lang w:eastAsia="en-GB"/>
          <w14:ligatures w14:val="none"/>
        </w:rPr>
        <w:t>mid-career working professionals 30–45</w:t>
      </w:r>
      <w:r w:rsidRPr="004000BC">
        <w:rPr>
          <w:rFonts w:ascii="Times New Roman" w:eastAsia="Times New Roman" w:hAnsi="Times New Roman" w:cs="Times New Roman"/>
          <w:kern w:val="0"/>
          <w:lang w:eastAsia="en-GB"/>
          <w14:ligatures w14:val="none"/>
        </w:rPr>
        <w:t>, not the 18–35 youth cohort that has 46.1% unemployment (Stats SA QLFS Q1:2025, statssa.gov.za/publications/P0211/P02111stQuarter2025.pdf).</w:t>
      </w:r>
    </w:p>
    <w:p w14:paraId="2A60793B" w14:textId="77777777" w:rsidR="004000BC" w:rsidRPr="004000BC" w:rsidRDefault="004000BC" w:rsidP="004000B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The founder's day job is a regulatory and reputational tripwire.</w:t>
      </w:r>
      <w:r w:rsidRPr="004000BC">
        <w:rPr>
          <w:rFonts w:ascii="Times New Roman" w:eastAsia="Times New Roman" w:hAnsi="Times New Roman" w:cs="Times New Roman"/>
          <w:kern w:val="0"/>
          <w:lang w:eastAsia="en-GB"/>
          <w14:ligatures w14:val="none"/>
        </w:rPr>
        <w:t xml:space="preserve"> FAIS Act 37 of 2002 defines "advice" broadly enough that personalised gamified nudges toward asset classes or products can trigger licensing (s.1(1), gov.za/sites/default/files/gcis_document/201409/a37-020.pdf). A Liberty-tied advisor running a "neutral" education app will face exactly the criticism Vault22 receives in its current Google Play reviews — </w:t>
      </w:r>
      <w:r w:rsidRPr="004000BC">
        <w:rPr>
          <w:rFonts w:ascii="Times New Roman" w:eastAsia="Times New Roman" w:hAnsi="Times New Roman" w:cs="Times New Roman"/>
          <w:i/>
          <w:iCs/>
          <w:kern w:val="0"/>
          <w:lang w:eastAsia="en-GB"/>
          <w14:ligatures w14:val="none"/>
        </w:rPr>
        <w:t>"a push to flog its own financial products and services on the user which is far from subtle"</w:t>
      </w:r>
      <w:r w:rsidRPr="004000BC">
        <w:rPr>
          <w:rFonts w:ascii="Times New Roman" w:eastAsia="Times New Roman" w:hAnsi="Times New Roman" w:cs="Times New Roman"/>
          <w:kern w:val="0"/>
          <w:lang w:eastAsia="en-GB"/>
          <w14:ligatures w14:val="none"/>
        </w:rPr>
        <w:t xml:space="preserve"> (Vault22 Google Play listing, play.google.com/store/apps/details?id=com.twentytwoseven.android). This is fixable but must be designed for before launch, not after.</w:t>
      </w:r>
    </w:p>
    <w:p w14:paraId="521798C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Where the thesis is strong.</w:t>
      </w:r>
      <w:r w:rsidRPr="004000BC">
        <w:rPr>
          <w:rFonts w:ascii="Times New Roman" w:eastAsia="Times New Roman" w:hAnsi="Times New Roman" w:cs="Times New Roman"/>
          <w:kern w:val="0"/>
          <w:lang w:eastAsia="en-GB"/>
          <w14:ligatures w14:val="none"/>
        </w:rPr>
        <w:t xml:space="preserve"> The pain is acute, broad, and measurable: 35.98% of credit-active consumers are credit-impaired (NCR Q3 2024 Credit Bureau Monitor); 96% of debt-counselling applicants now hold a personal loan and they spend 71% of take-home pay servicing debt (DebtBusters Q4 2025); 87% of working South Africans report financial stress (Sanlam Benchmark 2024); only 6% are on track for a comfortable retirement (10X Retirement Reality Report 2023/2024). Two-pot withdrawals provided a real-time stress-test of household balance sheets, and the SARS WhatsApp two-pot calculator was used 90,283 times while the website calculator was used </w:t>
      </w:r>
      <w:r w:rsidRPr="004000BC">
        <w:rPr>
          <w:rFonts w:ascii="Times New Roman" w:eastAsia="Times New Roman" w:hAnsi="Times New Roman" w:cs="Times New Roman"/>
          <w:b/>
          <w:bCs/>
          <w:kern w:val="0"/>
          <w:lang w:eastAsia="en-GB"/>
          <w14:ligatures w14:val="none"/>
        </w:rPr>
        <w:t>952,403 times</w:t>
      </w:r>
      <w:r w:rsidRPr="004000BC">
        <w:rPr>
          <w:rFonts w:ascii="Times New Roman" w:eastAsia="Times New Roman" w:hAnsi="Times New Roman" w:cs="Times New Roman"/>
          <w:kern w:val="0"/>
          <w:lang w:eastAsia="en-GB"/>
          <w14:ligatures w14:val="none"/>
        </w:rPr>
        <w:t xml:space="preserve"> (Moonstone, 2025, moonstone.co.za/gross-two-pot-withdrawals-top-r43-billion) — proof of mass, urgent, unmet demand for accessible financial explanation. The evidence supports a </w:t>
      </w:r>
      <w:r w:rsidRPr="004000BC">
        <w:rPr>
          <w:rFonts w:ascii="Times New Roman" w:eastAsia="Times New Roman" w:hAnsi="Times New Roman" w:cs="Times New Roman"/>
          <w:i/>
          <w:iCs/>
          <w:kern w:val="0"/>
          <w:lang w:eastAsia="en-GB"/>
          <w14:ligatures w14:val="none"/>
        </w:rPr>
        <w:t>narrower, design-disciplined</w:t>
      </w:r>
      <w:r w:rsidRPr="004000BC">
        <w:rPr>
          <w:rFonts w:ascii="Times New Roman" w:eastAsia="Times New Roman" w:hAnsi="Times New Roman" w:cs="Times New Roman"/>
          <w:kern w:val="0"/>
          <w:lang w:eastAsia="en-GB"/>
          <w14:ligatures w14:val="none"/>
        </w:rPr>
        <w:t xml:space="preserve"> product. It does not support a "Duolingo for finance for everyone 18–35" pitch.</w:t>
      </w:r>
    </w:p>
    <w:p w14:paraId="6E4D346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21EA9720">
          <v:rect id="_x0000_i1026" style="width:0;height:1.5pt" o:hralign="center" o:hrstd="t" o:hr="t" fillcolor="#a0a0a0" stroked="f"/>
        </w:pict>
      </w:r>
    </w:p>
    <w:p w14:paraId="22DF5384"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2. Problem validation — pain is real, deep, and measurable</w:t>
      </w:r>
    </w:p>
    <w:p w14:paraId="6C93C68B"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2.1 Financial literacy levels: middling on paper, weak on the questions that matter</w:t>
      </w:r>
    </w:p>
    <w:p w14:paraId="7C34A94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FSCA/HSRC 2020 Financial Literacy Baseline Survey (Roberts, Struwig, Gordon &amp; Zondi, 2021, </w:t>
      </w:r>
      <w:r w:rsidRPr="004000BC">
        <w:rPr>
          <w:rFonts w:ascii="Times New Roman" w:eastAsia="Times New Roman" w:hAnsi="Times New Roman" w:cs="Times New Roman"/>
          <w:i/>
          <w:iCs/>
          <w:kern w:val="0"/>
          <w:lang w:eastAsia="en-GB"/>
          <w14:ligatures w14:val="none"/>
        </w:rPr>
        <w:t>Financial Literacy in South Africa: Results from the 2020 Baseline Survey</w:t>
      </w:r>
      <w:r w:rsidRPr="004000BC">
        <w:rPr>
          <w:rFonts w:ascii="Times New Roman" w:eastAsia="Times New Roman" w:hAnsi="Times New Roman" w:cs="Times New Roman"/>
          <w:kern w:val="0"/>
          <w:lang w:eastAsia="en-GB"/>
          <w14:ligatures w14:val="none"/>
        </w:rPr>
        <w:t xml:space="preserve">, HSRC for FSCA, fscamymoney.co.za/Research%20Documents/Financial%20Literacy%20in%20South%20Africa%20Results%20from%20the%202020%20Baseline%20Survey.pdf) puts average composite financial literacy at </w:t>
      </w:r>
      <w:r w:rsidRPr="004000BC">
        <w:rPr>
          <w:rFonts w:ascii="Times New Roman" w:eastAsia="Times New Roman" w:hAnsi="Times New Roman" w:cs="Times New Roman"/>
          <w:b/>
          <w:bCs/>
          <w:kern w:val="0"/>
          <w:lang w:eastAsia="en-GB"/>
          <w14:ligatures w14:val="none"/>
        </w:rPr>
        <w:t>52/100</w:t>
      </w:r>
      <w:r w:rsidRPr="004000BC">
        <w:rPr>
          <w:rFonts w:ascii="Times New Roman" w:eastAsia="Times New Roman" w:hAnsi="Times New Roman" w:cs="Times New Roman"/>
          <w:kern w:val="0"/>
          <w:lang w:eastAsia="en-GB"/>
          <w14:ligatures w14:val="none"/>
        </w:rPr>
        <w:t xml:space="preserve">, with declines across all four domains since prior </w:t>
      </w:r>
      <w:r w:rsidRPr="004000BC">
        <w:rPr>
          <w:rFonts w:ascii="Times New Roman" w:eastAsia="Times New Roman" w:hAnsi="Times New Roman" w:cs="Times New Roman"/>
          <w:kern w:val="0"/>
          <w:lang w:eastAsia="en-GB"/>
          <w14:ligatures w14:val="none"/>
        </w:rPr>
        <w:lastRenderedPageBreak/>
        <w:t xml:space="preserve">rounds. About </w:t>
      </w:r>
      <w:r w:rsidRPr="004000BC">
        <w:rPr>
          <w:rFonts w:ascii="Times New Roman" w:eastAsia="Times New Roman" w:hAnsi="Times New Roman" w:cs="Times New Roman"/>
          <w:b/>
          <w:bCs/>
          <w:kern w:val="0"/>
          <w:lang w:eastAsia="en-GB"/>
          <w14:ligatures w14:val="none"/>
        </w:rPr>
        <w:t>51% of adults are classed financially illiterate</w:t>
      </w:r>
      <w:r w:rsidRPr="004000BC">
        <w:rPr>
          <w:rFonts w:ascii="Times New Roman" w:eastAsia="Times New Roman" w:hAnsi="Times New Roman" w:cs="Times New Roman"/>
          <w:kern w:val="0"/>
          <w:lang w:eastAsia="en-GB"/>
          <w14:ligatures w14:val="none"/>
        </w:rPr>
        <w:t xml:space="preserve">, </w:t>
      </w:r>
      <w:r w:rsidRPr="004000BC">
        <w:rPr>
          <w:rFonts w:ascii="Times New Roman" w:eastAsia="Times New Roman" w:hAnsi="Times New Roman" w:cs="Times New Roman"/>
          <w:b/>
          <w:bCs/>
          <w:kern w:val="0"/>
          <w:lang w:eastAsia="en-GB"/>
          <w14:ligatures w14:val="none"/>
        </w:rPr>
        <w:t>only 26% have any emergency savings</w:t>
      </w:r>
      <w:r w:rsidRPr="004000BC">
        <w:rPr>
          <w:rFonts w:ascii="Times New Roman" w:eastAsia="Times New Roman" w:hAnsi="Times New Roman" w:cs="Times New Roman"/>
          <w:kern w:val="0"/>
          <w:lang w:eastAsia="en-GB"/>
          <w14:ligatures w14:val="none"/>
        </w:rPr>
        <w:t xml:space="preserve">, </w:t>
      </w:r>
      <w:r w:rsidRPr="004000BC">
        <w:rPr>
          <w:rFonts w:ascii="Times New Roman" w:eastAsia="Times New Roman" w:hAnsi="Times New Roman" w:cs="Times New Roman"/>
          <w:b/>
          <w:bCs/>
          <w:kern w:val="0"/>
          <w:lang w:eastAsia="en-GB"/>
          <w14:ligatures w14:val="none"/>
        </w:rPr>
        <w:t>46% "live for today rather than worry about providing for the future"</w:t>
      </w:r>
      <w:r w:rsidRPr="004000BC">
        <w:rPr>
          <w:rFonts w:ascii="Times New Roman" w:eastAsia="Times New Roman" w:hAnsi="Times New Roman" w:cs="Times New Roman"/>
          <w:kern w:val="0"/>
          <w:lang w:eastAsia="en-GB"/>
          <w14:ligatures w14:val="none"/>
        </w:rPr>
        <w:t>, and roughly one-third have no retirement plan (FSCA Press Release, 28 July 2022, fsca.co.za; SAnews, 2023, sanews.gov.za/south-africa/sa-urged-make-smart-financial-decisions).</w:t>
      </w:r>
    </w:p>
    <w:p w14:paraId="0B4FAA8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OECD/INFE 2023 International Survey of Adult Financial Literacy (OECD Business and Finance Policy Papers No. 39, oecd.org/en/publications/oecd-infe-2023-international-survey-of-adult-financial-literacy_56003a32-en.html) revealed something more alarming: </w:t>
      </w:r>
      <w:r w:rsidRPr="004000BC">
        <w:rPr>
          <w:rFonts w:ascii="Times New Roman" w:eastAsia="Times New Roman" w:hAnsi="Times New Roman" w:cs="Times New Roman"/>
          <w:b/>
          <w:bCs/>
          <w:kern w:val="0"/>
          <w:lang w:eastAsia="en-GB"/>
          <w14:ligatures w14:val="none"/>
        </w:rPr>
        <w:t>only 25% of South African adults correctly answered the inflation question</w:t>
      </w:r>
      <w:r w:rsidRPr="004000BC">
        <w:rPr>
          <w:rFonts w:ascii="Times New Roman" w:eastAsia="Times New Roman" w:hAnsi="Times New Roman" w:cs="Times New Roman"/>
          <w:kern w:val="0"/>
          <w:lang w:eastAsia="en-GB"/>
          <w14:ligatures w14:val="none"/>
        </w:rPr>
        <w:t xml:space="preserve"> — among the lowest of 39 economies surveyed — despite the country having lived through structurally high inflation for decades. The S&amp;P Global FinLit Survey scored SA at </w:t>
      </w:r>
      <w:r w:rsidRPr="004000BC">
        <w:rPr>
          <w:rFonts w:ascii="Times New Roman" w:eastAsia="Times New Roman" w:hAnsi="Times New Roman" w:cs="Times New Roman"/>
          <w:b/>
          <w:bCs/>
          <w:kern w:val="0"/>
          <w:lang w:eastAsia="en-GB"/>
          <w14:ligatures w14:val="none"/>
        </w:rPr>
        <w:t>42% financially literate</w:t>
      </w:r>
      <w:r w:rsidRPr="004000BC">
        <w:rPr>
          <w:rFonts w:ascii="Times New Roman" w:eastAsia="Times New Roman" w:hAnsi="Times New Roman" w:cs="Times New Roman"/>
          <w:kern w:val="0"/>
          <w:lang w:eastAsia="en-GB"/>
          <w14:ligatures w14:val="none"/>
        </w:rPr>
        <w:t xml:space="preserve">, the highest in BRICS but only matching half the G7 average (Klapper, Lusardi &amp; Van Oudheusden, 2015, </w:t>
      </w:r>
      <w:r w:rsidRPr="004000BC">
        <w:rPr>
          <w:rFonts w:ascii="Times New Roman" w:eastAsia="Times New Roman" w:hAnsi="Times New Roman" w:cs="Times New Roman"/>
          <w:i/>
          <w:iCs/>
          <w:kern w:val="0"/>
          <w:lang w:eastAsia="en-GB"/>
          <w14:ligatures w14:val="none"/>
        </w:rPr>
        <w:t>Financial Literacy Around the World</w:t>
      </w:r>
      <w:r w:rsidRPr="004000BC">
        <w:rPr>
          <w:rFonts w:ascii="Times New Roman" w:eastAsia="Times New Roman" w:hAnsi="Times New Roman" w:cs="Times New Roman"/>
          <w:kern w:val="0"/>
          <w:lang w:eastAsia="en-GB"/>
          <w14:ligatures w14:val="none"/>
        </w:rPr>
        <w:t xml:space="preserve">, GFLEC, gflec.org/wp-content/uploads/2015/11/3313-Finlit_Report_FINAL-5.11.16.pdf). Nanziri &amp; Olckers (2019, SALDRU Working Paper, saldru.uct.ac.za/sites/default/files/media/documents/2019-09-nidsw5.pdf) independently confirmed </w:t>
      </w:r>
      <w:r w:rsidRPr="004000BC">
        <w:rPr>
          <w:rFonts w:ascii="Times New Roman" w:eastAsia="Times New Roman" w:hAnsi="Times New Roman" w:cs="Times New Roman"/>
          <w:b/>
          <w:bCs/>
          <w:kern w:val="0"/>
          <w:lang w:eastAsia="en-GB"/>
          <w14:ligatures w14:val="none"/>
        </w:rPr>
        <w:t>40.57% literacy</w:t>
      </w:r>
      <w:r w:rsidRPr="004000BC">
        <w:rPr>
          <w:rFonts w:ascii="Times New Roman" w:eastAsia="Times New Roman" w:hAnsi="Times New Roman" w:cs="Times New Roman"/>
          <w:kern w:val="0"/>
          <w:lang w:eastAsia="en-GB"/>
          <w14:ligatures w14:val="none"/>
        </w:rPr>
        <w:t xml:space="preserve"> using NIDS Wave 5 data — directly cross-validating the S&amp;P figure.</w:t>
      </w:r>
    </w:p>
    <w:p w14:paraId="0A4E598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2.2 Downstream consequences: household balance sheets are visibly stressed</w:t>
      </w:r>
    </w:p>
    <w:p w14:paraId="7ACE8C3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Household debt-to-disposable-income</w:t>
      </w:r>
      <w:r w:rsidRPr="004000BC">
        <w:rPr>
          <w:rFonts w:ascii="Times New Roman" w:eastAsia="Times New Roman" w:hAnsi="Times New Roman" w:cs="Times New Roman"/>
          <w:kern w:val="0"/>
          <w:lang w:eastAsia="en-GB"/>
          <w14:ligatures w14:val="none"/>
        </w:rPr>
        <w:t xml:space="preserve"> sat at </w:t>
      </w:r>
      <w:r w:rsidRPr="004000BC">
        <w:rPr>
          <w:rFonts w:ascii="Times New Roman" w:eastAsia="Times New Roman" w:hAnsi="Times New Roman" w:cs="Times New Roman"/>
          <w:b/>
          <w:bCs/>
          <w:kern w:val="0"/>
          <w:lang w:eastAsia="en-GB"/>
          <w14:ligatures w14:val="none"/>
        </w:rPr>
        <w:t>62.0% in Q4 2024</w:t>
      </w:r>
      <w:r w:rsidRPr="004000BC">
        <w:rPr>
          <w:rFonts w:ascii="Times New Roman" w:eastAsia="Times New Roman" w:hAnsi="Times New Roman" w:cs="Times New Roman"/>
          <w:kern w:val="0"/>
          <w:lang w:eastAsia="en-GB"/>
          <w14:ligatures w14:val="none"/>
        </w:rPr>
        <w:t xml:space="preserve">, with debt-service costs of 8.9% of disposable income (SARB </w:t>
      </w:r>
      <w:r w:rsidRPr="004000BC">
        <w:rPr>
          <w:rFonts w:ascii="Times New Roman" w:eastAsia="Times New Roman" w:hAnsi="Times New Roman" w:cs="Times New Roman"/>
          <w:i/>
          <w:iCs/>
          <w:kern w:val="0"/>
          <w:lang w:eastAsia="en-GB"/>
          <w14:ligatures w14:val="none"/>
        </w:rPr>
        <w:t>Quarterly Bulletin – March 2025</w:t>
      </w:r>
      <w:r w:rsidRPr="004000BC">
        <w:rPr>
          <w:rFonts w:ascii="Times New Roman" w:eastAsia="Times New Roman" w:hAnsi="Times New Roman" w:cs="Times New Roman"/>
          <w:kern w:val="0"/>
          <w:lang w:eastAsia="en-GB"/>
          <w14:ligatures w14:val="none"/>
        </w:rPr>
        <w:t xml:space="preserve">, resbank.co.za). The NCR Credit Bureau Monitor Q3 2024 (ncr.org.za/documents/CBM/CBM%20Q3%202024..pdf) reports </w:t>
      </w:r>
      <w:r w:rsidRPr="004000BC">
        <w:rPr>
          <w:rFonts w:ascii="Times New Roman" w:eastAsia="Times New Roman" w:hAnsi="Times New Roman" w:cs="Times New Roman"/>
          <w:b/>
          <w:bCs/>
          <w:kern w:val="0"/>
          <w:lang w:eastAsia="en-GB"/>
          <w14:ligatures w14:val="none"/>
        </w:rPr>
        <w:t>28.32 million credit-active consumers, of whom 10.19 million (35.98%) have impaired records</w:t>
      </w:r>
      <w:r w:rsidRPr="004000BC">
        <w:rPr>
          <w:rFonts w:ascii="Times New Roman" w:eastAsia="Times New Roman" w:hAnsi="Times New Roman" w:cs="Times New Roman"/>
          <w:kern w:val="0"/>
          <w:lang w:eastAsia="en-GB"/>
          <w14:ligatures w14:val="none"/>
        </w:rPr>
        <w:t xml:space="preserve">. DebtBusters' quarterly indices show a worsening picture: Q4 2025 applicants now spend </w:t>
      </w:r>
      <w:r w:rsidRPr="004000BC">
        <w:rPr>
          <w:rFonts w:ascii="Times New Roman" w:eastAsia="Times New Roman" w:hAnsi="Times New Roman" w:cs="Times New Roman"/>
          <w:b/>
          <w:bCs/>
          <w:kern w:val="0"/>
          <w:lang w:eastAsia="en-GB"/>
          <w14:ligatures w14:val="none"/>
        </w:rPr>
        <w:t>71% of take-home pay servicing debt</w:t>
      </w:r>
      <w:r w:rsidRPr="004000BC">
        <w:rPr>
          <w:rFonts w:ascii="Times New Roman" w:eastAsia="Times New Roman" w:hAnsi="Times New Roman" w:cs="Times New Roman"/>
          <w:kern w:val="0"/>
          <w:lang w:eastAsia="en-GB"/>
          <w14:ligatures w14:val="none"/>
        </w:rPr>
        <w:t xml:space="preserve">, with </w:t>
      </w:r>
      <w:r w:rsidRPr="004000BC">
        <w:rPr>
          <w:rFonts w:ascii="Times New Roman" w:eastAsia="Times New Roman" w:hAnsi="Times New Roman" w:cs="Times New Roman"/>
          <w:b/>
          <w:bCs/>
          <w:kern w:val="0"/>
          <w:lang w:eastAsia="en-GB"/>
          <w14:ligatures w14:val="none"/>
        </w:rPr>
        <w:t>96% holding a personal loan, 59% a payday loan</w:t>
      </w:r>
      <w:r w:rsidRPr="004000BC">
        <w:rPr>
          <w:rFonts w:ascii="Times New Roman" w:eastAsia="Times New Roman" w:hAnsi="Times New Roman" w:cs="Times New Roman"/>
          <w:kern w:val="0"/>
          <w:lang w:eastAsia="en-GB"/>
          <w14:ligatures w14:val="none"/>
        </w:rPr>
        <w:t xml:space="preserve">, and high earners (R35,000+) carrying debt at </w:t>
      </w:r>
      <w:r w:rsidRPr="004000BC">
        <w:rPr>
          <w:rFonts w:ascii="Times New Roman" w:eastAsia="Times New Roman" w:hAnsi="Times New Roman" w:cs="Times New Roman"/>
          <w:b/>
          <w:bCs/>
          <w:kern w:val="0"/>
          <w:lang w:eastAsia="en-GB"/>
          <w14:ligatures w14:val="none"/>
        </w:rPr>
        <w:t>210% of net income</w:t>
      </w:r>
      <w:r w:rsidRPr="004000BC">
        <w:rPr>
          <w:rFonts w:ascii="Times New Roman" w:eastAsia="Times New Roman" w:hAnsi="Times New Roman" w:cs="Times New Roman"/>
          <w:kern w:val="0"/>
          <w:lang w:eastAsia="en-GB"/>
          <w14:ligatures w14:val="none"/>
        </w:rPr>
        <w:t xml:space="preserve"> (DebtBusters Q4 2025 Debt Index, southafricanbusinessmatters.co.za/debt-index-confidence-up-but-costs-outpace-income-growth).</w:t>
      </w:r>
    </w:p>
    <w:p w14:paraId="60E67FA2"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10X Investments </w:t>
      </w:r>
      <w:r w:rsidRPr="004000BC">
        <w:rPr>
          <w:rFonts w:ascii="Times New Roman" w:eastAsia="Times New Roman" w:hAnsi="Times New Roman" w:cs="Times New Roman"/>
          <w:i/>
          <w:iCs/>
          <w:kern w:val="0"/>
          <w:lang w:eastAsia="en-GB"/>
          <w14:ligatures w14:val="none"/>
        </w:rPr>
        <w:t>Retirement Reality Report 2023/2024</w:t>
      </w:r>
      <w:r w:rsidRPr="004000BC">
        <w:rPr>
          <w:rFonts w:ascii="Times New Roman" w:eastAsia="Times New Roman" w:hAnsi="Times New Roman" w:cs="Times New Roman"/>
          <w:kern w:val="0"/>
          <w:lang w:eastAsia="en-GB"/>
          <w14:ligatures w14:val="none"/>
        </w:rPr>
        <w:t xml:space="preserve"> verifies the "only 6%" claim — </w:t>
      </w:r>
      <w:r w:rsidRPr="004000BC">
        <w:rPr>
          <w:rFonts w:ascii="Times New Roman" w:eastAsia="Times New Roman" w:hAnsi="Times New Roman" w:cs="Times New Roman"/>
          <w:b/>
          <w:bCs/>
          <w:kern w:val="0"/>
          <w:lang w:eastAsia="en-GB"/>
          <w14:ligatures w14:val="none"/>
        </w:rPr>
        <w:t>"South Africa is sitting on a retirement time bomb, with only 6% of the country's population on track to retire comfortably"</w:t>
      </w:r>
      <w:r w:rsidRPr="004000BC">
        <w:rPr>
          <w:rFonts w:ascii="Times New Roman" w:eastAsia="Times New Roman" w:hAnsi="Times New Roman" w:cs="Times New Roman"/>
          <w:kern w:val="0"/>
          <w:lang w:eastAsia="en-GB"/>
          <w14:ligatures w14:val="none"/>
        </w:rPr>
        <w:t xml:space="preserve"> (10X Investments, 2024, 10x.co.za/library/10x-retirement-reality-report). The figure derives from Brand Atlas 2023 survey data covering 15.4 million economically active South Africans. Sanlam's own internal data is more pessimistic still: the actual age South Africans can afford to retire comfortably is </w:t>
      </w:r>
      <w:r w:rsidRPr="004000BC">
        <w:rPr>
          <w:rFonts w:ascii="Times New Roman" w:eastAsia="Times New Roman" w:hAnsi="Times New Roman" w:cs="Times New Roman"/>
          <w:b/>
          <w:bCs/>
          <w:kern w:val="0"/>
          <w:lang w:eastAsia="en-GB"/>
          <w14:ligatures w14:val="none"/>
        </w:rPr>
        <w:t>closer to 80</w:t>
      </w:r>
      <w:r w:rsidRPr="004000BC">
        <w:rPr>
          <w:rFonts w:ascii="Times New Roman" w:eastAsia="Times New Roman" w:hAnsi="Times New Roman" w:cs="Times New Roman"/>
          <w:kern w:val="0"/>
          <w:lang w:eastAsia="en-GB"/>
          <w14:ligatures w14:val="none"/>
        </w:rPr>
        <w:t>, against a member-believed retirement age of 58 (Sanlam Benchmark Survey 2025, seb-news.sanlam.co.za/consultant-toolkit/sanlam-benchmark-2025-the-reality-of-south-africas-retirement-landscape).</w:t>
      </w:r>
    </w:p>
    <w:p w14:paraId="05BB5FB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2.3 Two-pot: a national stress test that legitimised "felt pain"</w:t>
      </w:r>
    </w:p>
    <w:p w14:paraId="0053BE9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September 2024 implementation of the two-pot retirement system created the largest involuntary public-financial-literacy event in SA history. SARS confirmed </w:t>
      </w:r>
      <w:r w:rsidRPr="004000BC">
        <w:rPr>
          <w:rFonts w:ascii="Times New Roman" w:eastAsia="Times New Roman" w:hAnsi="Times New Roman" w:cs="Times New Roman"/>
          <w:b/>
          <w:bCs/>
          <w:kern w:val="0"/>
          <w:lang w:eastAsia="en-GB"/>
          <w14:ligatures w14:val="none"/>
        </w:rPr>
        <w:t>2.66 million applications and R43.42 billion paid out by 31 January 2025</w:t>
      </w:r>
      <w:r w:rsidRPr="004000BC">
        <w:rPr>
          <w:rFonts w:ascii="Times New Roman" w:eastAsia="Times New Roman" w:hAnsi="Times New Roman" w:cs="Times New Roman"/>
          <w:kern w:val="0"/>
          <w:lang w:eastAsia="en-GB"/>
          <w14:ligatures w14:val="none"/>
        </w:rPr>
        <w:t xml:space="preserve">, with approximately </w:t>
      </w:r>
      <w:r w:rsidRPr="004000BC">
        <w:rPr>
          <w:rFonts w:ascii="Times New Roman" w:eastAsia="Times New Roman" w:hAnsi="Times New Roman" w:cs="Times New Roman"/>
          <w:b/>
          <w:bCs/>
          <w:kern w:val="0"/>
          <w:lang w:eastAsia="en-GB"/>
          <w14:ligatures w14:val="none"/>
        </w:rPr>
        <w:t>R12.9 billion in extra income-tax revenue</w:t>
      </w:r>
      <w:r w:rsidRPr="004000BC">
        <w:rPr>
          <w:rFonts w:ascii="Times New Roman" w:eastAsia="Times New Roman" w:hAnsi="Times New Roman" w:cs="Times New Roman"/>
          <w:kern w:val="0"/>
          <w:lang w:eastAsia="en-GB"/>
          <w14:ligatures w14:val="none"/>
        </w:rPr>
        <w:t xml:space="preserve"> (Daily Investor, 2025, dailyinvestor.com/finance/92153/sars-gets-r12-9-billion-in-extra-tax-revenue-from-two-pot-</w:t>
      </w:r>
      <w:r w:rsidRPr="004000BC">
        <w:rPr>
          <w:rFonts w:ascii="Times New Roman" w:eastAsia="Times New Roman" w:hAnsi="Times New Roman" w:cs="Times New Roman"/>
          <w:kern w:val="0"/>
          <w:lang w:eastAsia="en-GB"/>
          <w14:ligatures w14:val="none"/>
        </w:rPr>
        <w:lastRenderedPageBreak/>
        <w:t>retirement-system) — SARS' own forecast had been R5 billion, so the actual stress release was 2.6× expectations.</w:t>
      </w:r>
    </w:p>
    <w:p w14:paraId="27C412F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What the money was spent on is the punchline: the 2025 Sanlam Benchmark Survey reports the top uses as </w:t>
      </w:r>
      <w:r w:rsidRPr="004000BC">
        <w:rPr>
          <w:rFonts w:ascii="Times New Roman" w:eastAsia="Times New Roman" w:hAnsi="Times New Roman" w:cs="Times New Roman"/>
          <w:b/>
          <w:bCs/>
          <w:kern w:val="0"/>
          <w:lang w:eastAsia="en-GB"/>
          <w14:ligatures w14:val="none"/>
        </w:rPr>
        <w:t>44% paying off debt, 33% school fees, 28% supporting family</w:t>
      </w:r>
      <w:r w:rsidRPr="004000BC">
        <w:rPr>
          <w:rFonts w:ascii="Times New Roman" w:eastAsia="Times New Roman" w:hAnsi="Times New Roman" w:cs="Times New Roman"/>
          <w:kern w:val="0"/>
          <w:lang w:eastAsia="en-GB"/>
          <w14:ligatures w14:val="none"/>
        </w:rPr>
        <w:t xml:space="preserve"> (Sanlam Benchmark 2025, fanews.co.za/article/retirement/1357/general/1358/2025-sanlam-benchmark-survey-nearly-half-of-respondents-call-for-school-level-financial-education/41885). Eighty per cent of withdrawals came from members whose net replacement ratio is already below 50%. Discovery and Sanlam concur on demographics: </w:t>
      </w:r>
      <w:r w:rsidRPr="004000BC">
        <w:rPr>
          <w:rFonts w:ascii="Times New Roman" w:eastAsia="Times New Roman" w:hAnsi="Times New Roman" w:cs="Times New Roman"/>
          <w:b/>
          <w:bCs/>
          <w:kern w:val="0"/>
          <w:lang w:eastAsia="en-GB"/>
          <w14:ligatures w14:val="none"/>
        </w:rPr>
        <w:t>the 35–44 age band leads withdrawals (42% at Sanlam, 27% of eligible at Discovery)</w:t>
      </w:r>
      <w:r w:rsidRPr="004000BC">
        <w:rPr>
          <w:rFonts w:ascii="Times New Roman" w:eastAsia="Times New Roman" w:hAnsi="Times New Roman" w:cs="Times New Roman"/>
          <w:kern w:val="0"/>
          <w:lang w:eastAsia="en-GB"/>
          <w14:ligatures w14:val="none"/>
        </w:rPr>
        <w:t>, with 55% male and the largest concentration in the R15,000–R40,000/month income band (Moneyweb, moneyweb.co.za/news/south-africa/those-aged-35-to-44-lead-the-way-in-two-pot-withdrawals-sanlam; moneyweb.co.za/news/south-africa/why-22-of-discovery-members-have-taken-money-out-under-two-pot).</w:t>
      </w:r>
    </w:p>
    <w:p w14:paraId="281801E5"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2.4 Felt versus latent pain: this is felt pain</w:t>
      </w:r>
    </w:p>
    <w:p w14:paraId="3C0D7B9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Benchmark 2024 (sanlam.co.za/corporate/retirement/benchmarksurvey/Documents/Sanlam_Benchmark_2024_Insights.pdf) reports </w:t>
      </w:r>
      <w:r w:rsidRPr="004000BC">
        <w:rPr>
          <w:rFonts w:ascii="Times New Roman" w:eastAsia="Times New Roman" w:hAnsi="Times New Roman" w:cs="Times New Roman"/>
          <w:b/>
          <w:bCs/>
          <w:kern w:val="0"/>
          <w:lang w:eastAsia="en-GB"/>
          <w14:ligatures w14:val="none"/>
        </w:rPr>
        <w:t>87% of working South Africans financially stressed, 63% anxious about their finances, 80% reporting that this stress affects their mental health, 39% of employers reporting increased absenteeism from financial-stress-driven mental health issues</w:t>
      </w:r>
      <w:r w:rsidRPr="004000BC">
        <w:rPr>
          <w:rFonts w:ascii="Times New Roman" w:eastAsia="Times New Roman" w:hAnsi="Times New Roman" w:cs="Times New Roman"/>
          <w:kern w:val="0"/>
          <w:lang w:eastAsia="en-GB"/>
          <w14:ligatures w14:val="none"/>
        </w:rPr>
        <w:t xml:space="preserve">. The cost of mental-health-related absenteeism and presenteeism is </w:t>
      </w:r>
      <w:r w:rsidRPr="004000BC">
        <w:rPr>
          <w:rFonts w:ascii="Times New Roman" w:eastAsia="Times New Roman" w:hAnsi="Times New Roman" w:cs="Times New Roman"/>
          <w:b/>
          <w:bCs/>
          <w:kern w:val="0"/>
          <w:lang w:eastAsia="en-GB"/>
          <w14:ligatures w14:val="none"/>
        </w:rPr>
        <w:t>equivalent to 4.8% of SA GDP</w:t>
      </w:r>
      <w:r w:rsidRPr="004000BC">
        <w:rPr>
          <w:rFonts w:ascii="Times New Roman" w:eastAsia="Times New Roman" w:hAnsi="Times New Roman" w:cs="Times New Roman"/>
          <w:kern w:val="0"/>
          <w:lang w:eastAsia="en-GB"/>
          <w14:ligatures w14:val="none"/>
        </w:rPr>
        <w:t xml:space="preserve"> (Schoeman, 2022, cited in Sanlam Benchmark 2024). Old Mutual's OMSIM 2024 (oldmutual.co.za/news/omsim-2024-key-findings) shows the share of "highly financially stressed" working South Africans falling from 58% (2020) to </w:t>
      </w:r>
      <w:r w:rsidRPr="004000BC">
        <w:rPr>
          <w:rFonts w:ascii="Times New Roman" w:eastAsia="Times New Roman" w:hAnsi="Times New Roman" w:cs="Times New Roman"/>
          <w:b/>
          <w:bCs/>
          <w:kern w:val="0"/>
          <w:lang w:eastAsia="en-GB"/>
          <w14:ligatures w14:val="none"/>
        </w:rPr>
        <w:t>37% (2024)</w:t>
      </w:r>
      <w:r w:rsidRPr="004000BC">
        <w:rPr>
          <w:rFonts w:ascii="Times New Roman" w:eastAsia="Times New Roman" w:hAnsi="Times New Roman" w:cs="Times New Roman"/>
          <w:kern w:val="0"/>
          <w:lang w:eastAsia="en-GB"/>
          <w14:ligatures w14:val="none"/>
        </w:rPr>
        <w:t xml:space="preserve"> — still high, and the survey under-counts low-income, informal-sector adults.</w:t>
      </w:r>
    </w:p>
    <w:p w14:paraId="6C4B420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This is not latent pain that needs activation. It is felt, talked about, and acted upon — which raises the harder question: if pain is acute and education exists, why hasn't a literacy app already captured it? Sections 3 and 6 answer that.</w:t>
      </w:r>
    </w:p>
    <w:p w14:paraId="1E31994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3FB47B98">
          <v:rect id="_x0000_i1027" style="width:0;height:1.5pt" o:hralign="center" o:hrstd="t" o:hr="t" fillcolor="#a0a0a0" stroked="f"/>
        </w:pict>
      </w:r>
    </w:p>
    <w:p w14:paraId="6FD3222B"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3. Demand signals — strong intent, fragmented capture</w:t>
      </w:r>
    </w:p>
    <w:p w14:paraId="11D2CDD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single strongest demand signal in the South African market over the last two years is the two-pot system. The fact that the </w:t>
      </w:r>
      <w:r w:rsidRPr="004000BC">
        <w:rPr>
          <w:rFonts w:ascii="Times New Roman" w:eastAsia="Times New Roman" w:hAnsi="Times New Roman" w:cs="Times New Roman"/>
          <w:b/>
          <w:bCs/>
          <w:kern w:val="0"/>
          <w:lang w:eastAsia="en-GB"/>
          <w14:ligatures w14:val="none"/>
        </w:rPr>
        <w:t>SARS website calculator was used 952,403 times</w:t>
      </w:r>
      <w:r w:rsidRPr="004000BC">
        <w:rPr>
          <w:rFonts w:ascii="Times New Roman" w:eastAsia="Times New Roman" w:hAnsi="Times New Roman" w:cs="Times New Roman"/>
          <w:kern w:val="0"/>
          <w:lang w:eastAsia="en-GB"/>
          <w14:ligatures w14:val="none"/>
        </w:rPr>
        <w:t xml:space="preserve"> while the WhatsApp version received 90,283 queries (Moonstone, 2025) proves that hundreds of thousands of South Africans actively seek plain-language financial explanation when consequences are immediate. Google's 2025 Year in Search confirmed </w:t>
      </w:r>
      <w:r w:rsidRPr="004000BC">
        <w:rPr>
          <w:rFonts w:ascii="Times New Roman" w:eastAsia="Times New Roman" w:hAnsi="Times New Roman" w:cs="Times New Roman"/>
          <w:b/>
          <w:bCs/>
          <w:kern w:val="0"/>
          <w:lang w:eastAsia="en-GB"/>
          <w14:ligatures w14:val="none"/>
        </w:rPr>
        <w:t>"How to apply for the two-pot system online withdrawal"</w:t>
      </w:r>
      <w:r w:rsidRPr="004000BC">
        <w:rPr>
          <w:rFonts w:ascii="Times New Roman" w:eastAsia="Times New Roman" w:hAnsi="Times New Roman" w:cs="Times New Roman"/>
          <w:kern w:val="0"/>
          <w:lang w:eastAsia="en-GB"/>
          <w14:ligatures w14:val="none"/>
        </w:rPr>
        <w:t xml:space="preserve"> as a top "How to" search, alongside "Budget speech" as a top "When is" search (The Citizen, 2025, citizen.co.za/lifestyle/technology/what-south-africans-searched-for-google-2025).</w:t>
      </w:r>
    </w:p>
    <w:p w14:paraId="5F2FCBD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EasyEquities provides the clearest investor-side demand proxy. Purple Group reported </w:t>
      </w:r>
      <w:r w:rsidRPr="004000BC">
        <w:rPr>
          <w:rFonts w:ascii="Times New Roman" w:eastAsia="Times New Roman" w:hAnsi="Times New Roman" w:cs="Times New Roman"/>
          <w:b/>
          <w:bCs/>
          <w:kern w:val="0"/>
          <w:lang w:eastAsia="en-GB"/>
          <w14:ligatures w14:val="none"/>
        </w:rPr>
        <w:t>2.6 million registered investors, 1.24 million active retail clients, and R80.7 billion in client assets at FY25 (August 2025)</w:t>
      </w:r>
      <w:r w:rsidRPr="004000BC">
        <w:rPr>
          <w:rFonts w:ascii="Times New Roman" w:eastAsia="Times New Roman" w:hAnsi="Times New Roman" w:cs="Times New Roman"/>
          <w:kern w:val="0"/>
          <w:lang w:eastAsia="en-GB"/>
          <w14:ligatures w14:val="none"/>
        </w:rPr>
        <w:t>, with retail inflows up 48% to R11.1 billion (FAnews, 2025, fanews.co.za/article/people-and-companies/12/news/1163/purple-group-delivers-record-</w:t>
      </w:r>
      <w:r w:rsidRPr="004000BC">
        <w:rPr>
          <w:rFonts w:ascii="Times New Roman" w:eastAsia="Times New Roman" w:hAnsi="Times New Roman" w:cs="Times New Roman"/>
          <w:kern w:val="0"/>
          <w:lang w:eastAsia="en-GB"/>
          <w14:ligatures w14:val="none"/>
        </w:rPr>
        <w:lastRenderedPageBreak/>
        <w:t xml:space="preserve">results-as-the-easyequities-retail-revolution-continues/42892). The platform crossed one million customers in October 2024 and skews young (median age 30, 58% male) — exactly the cohort the founder is targeting. Crucially, EasyEquities is </w:t>
      </w:r>
      <w:r w:rsidRPr="004000BC">
        <w:rPr>
          <w:rFonts w:ascii="Times New Roman" w:eastAsia="Times New Roman" w:hAnsi="Times New Roman" w:cs="Times New Roman"/>
          <w:i/>
          <w:iCs/>
          <w:kern w:val="0"/>
          <w:lang w:eastAsia="en-GB"/>
          <w14:ligatures w14:val="none"/>
        </w:rPr>
        <w:t>not</w:t>
      </w:r>
      <w:r w:rsidRPr="004000BC">
        <w:rPr>
          <w:rFonts w:ascii="Times New Roman" w:eastAsia="Times New Roman" w:hAnsi="Times New Roman" w:cs="Times New Roman"/>
          <w:kern w:val="0"/>
          <w:lang w:eastAsia="en-GB"/>
          <w14:ligatures w14:val="none"/>
        </w:rPr>
        <w:t xml:space="preserve"> a literacy app — it is an investment platform that uses </w:t>
      </w:r>
      <w:r w:rsidRPr="004000BC">
        <w:rPr>
          <w:rFonts w:ascii="Times New Roman" w:eastAsia="Times New Roman" w:hAnsi="Times New Roman" w:cs="Times New Roman"/>
          <w:i/>
          <w:iCs/>
          <w:kern w:val="0"/>
          <w:lang w:eastAsia="en-GB"/>
          <w14:ligatures w14:val="none"/>
        </w:rPr>
        <w:t>Just One Lap</w:t>
      </w:r>
      <w:r w:rsidRPr="004000BC">
        <w:rPr>
          <w:rFonts w:ascii="Times New Roman" w:eastAsia="Times New Roman" w:hAnsi="Times New Roman" w:cs="Times New Roman"/>
          <w:kern w:val="0"/>
          <w:lang w:eastAsia="en-GB"/>
          <w14:ligatures w14:val="none"/>
        </w:rPr>
        <w:t xml:space="preserve"> (Simon Brown), free, podcast-based, partner-supplied education as its content layer. South Africans are willing to learn finance. They are not yet willing to use a single, dedicated literacy app as the venue.</w:t>
      </w:r>
    </w:p>
    <w:p w14:paraId="47AB879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Creator-economy signals confirm this fragmented capture. Nicolette Mashile (Financial Bunny) has </w:t>
      </w:r>
      <w:r w:rsidRPr="004000BC">
        <w:rPr>
          <w:rFonts w:ascii="Times New Roman" w:eastAsia="Times New Roman" w:hAnsi="Times New Roman" w:cs="Times New Roman"/>
          <w:b/>
          <w:bCs/>
          <w:kern w:val="0"/>
          <w:lang w:eastAsia="en-GB"/>
          <w14:ligatures w14:val="none"/>
        </w:rPr>
        <w:t>487,358 Facebook followers, ~70,000 YouTube subscribers and over 840,000 followers across her social channels</w:t>
      </w:r>
      <w:r w:rsidRPr="004000BC">
        <w:rPr>
          <w:rFonts w:ascii="Times New Roman" w:eastAsia="Times New Roman" w:hAnsi="Times New Roman" w:cs="Times New Roman"/>
          <w:kern w:val="0"/>
          <w:lang w:eastAsia="en-GB"/>
          <w14:ligatures w14:val="none"/>
        </w:rPr>
        <w:t xml:space="preserve">, plus the SABC 2 "Moola Money" game-show host slot (Famous Faces, famousfaces.co.za/artists/nicolette-mashile; Financial Bunny FB, facebook.com/FinancialBunny). Just One Lap's </w:t>
      </w:r>
      <w:r w:rsidRPr="004000BC">
        <w:rPr>
          <w:rFonts w:ascii="Times New Roman" w:eastAsia="Times New Roman" w:hAnsi="Times New Roman" w:cs="Times New Roman"/>
          <w:i/>
          <w:iCs/>
          <w:kern w:val="0"/>
          <w:lang w:eastAsia="en-GB"/>
          <w14:ligatures w14:val="none"/>
        </w:rPr>
        <w:t>Fat Wallet Show</w:t>
      </w:r>
      <w:r w:rsidRPr="004000BC">
        <w:rPr>
          <w:rFonts w:ascii="Times New Roman" w:eastAsia="Times New Roman" w:hAnsi="Times New Roman" w:cs="Times New Roman"/>
          <w:kern w:val="0"/>
          <w:lang w:eastAsia="en-GB"/>
          <w14:ligatures w14:val="none"/>
        </w:rPr>
        <w:t xml:space="preserve"> lifetime-downloaded </w:t>
      </w:r>
      <w:r w:rsidRPr="004000BC">
        <w:rPr>
          <w:rFonts w:ascii="Times New Roman" w:eastAsia="Times New Roman" w:hAnsi="Times New Roman" w:cs="Times New Roman"/>
          <w:b/>
          <w:bCs/>
          <w:kern w:val="0"/>
          <w:lang w:eastAsia="en-GB"/>
          <w14:ligatures w14:val="none"/>
        </w:rPr>
        <w:t>717,000 episodes</w:t>
      </w:r>
      <w:r w:rsidRPr="004000BC">
        <w:rPr>
          <w:rFonts w:ascii="Times New Roman" w:eastAsia="Times New Roman" w:hAnsi="Times New Roman" w:cs="Times New Roman"/>
          <w:kern w:val="0"/>
          <w:lang w:eastAsia="en-GB"/>
          <w14:ligatures w14:val="none"/>
        </w:rPr>
        <w:t xml:space="preserve"> before ending production in 2021 (justonelap.com/podcast-farewell-fatties). TaxTim claims </w:t>
      </w:r>
      <w:r w:rsidRPr="004000BC">
        <w:rPr>
          <w:rFonts w:ascii="Times New Roman" w:eastAsia="Times New Roman" w:hAnsi="Times New Roman" w:cs="Times New Roman"/>
          <w:b/>
          <w:bCs/>
          <w:kern w:val="0"/>
          <w:lang w:eastAsia="en-GB"/>
          <w14:ligatures w14:val="none"/>
        </w:rPr>
        <w:t>1.7 million South Africans have used it</w:t>
      </w:r>
      <w:r w:rsidRPr="004000BC">
        <w:rPr>
          <w:rFonts w:ascii="Times New Roman" w:eastAsia="Times New Roman" w:hAnsi="Times New Roman" w:cs="Times New Roman"/>
          <w:kern w:val="0"/>
          <w:lang w:eastAsia="en-GB"/>
          <w14:ligatures w14:val="none"/>
        </w:rPr>
        <w:t xml:space="preserve"> to file taxes (TaxTim LinkedIn, linkedin.com/company/taxtim). These are scaled audiences for free, on-demand, vernacular finance content — not paid app subscribers.</w:t>
      </w:r>
    </w:p>
    <w:p w14:paraId="1A7D8433"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w:t>
      </w:r>
      <w:r w:rsidRPr="004000BC">
        <w:rPr>
          <w:rFonts w:ascii="Times New Roman" w:eastAsia="Times New Roman" w:hAnsi="Times New Roman" w:cs="Times New Roman"/>
          <w:b/>
          <w:bCs/>
          <w:kern w:val="0"/>
          <w:lang w:eastAsia="en-GB"/>
          <w14:ligatures w14:val="none"/>
        </w:rPr>
        <w:t>stokvel economy</w:t>
      </w:r>
      <w:r w:rsidRPr="004000BC">
        <w:rPr>
          <w:rFonts w:ascii="Times New Roman" w:eastAsia="Times New Roman" w:hAnsi="Times New Roman" w:cs="Times New Roman"/>
          <w:kern w:val="0"/>
          <w:lang w:eastAsia="en-GB"/>
          <w14:ligatures w14:val="none"/>
        </w:rPr>
        <w:t xml:space="preserve"> is the largest organic financial-literacy and savings movement in the country: </w:t>
      </w:r>
      <w:r w:rsidRPr="004000BC">
        <w:rPr>
          <w:rFonts w:ascii="Times New Roman" w:eastAsia="Times New Roman" w:hAnsi="Times New Roman" w:cs="Times New Roman"/>
          <w:b/>
          <w:bCs/>
          <w:kern w:val="0"/>
          <w:lang w:eastAsia="en-GB"/>
          <w14:ligatures w14:val="none"/>
        </w:rPr>
        <w:t>~R50 billion in annual flows, ~800,000 active stokvels and 11+ million members</w:t>
      </w:r>
      <w:r w:rsidRPr="004000BC">
        <w:rPr>
          <w:rFonts w:ascii="Times New Roman" w:eastAsia="Times New Roman" w:hAnsi="Times New Roman" w:cs="Times New Roman"/>
          <w:kern w:val="0"/>
          <w:lang w:eastAsia="en-GB"/>
          <w14:ligatures w14:val="none"/>
        </w:rPr>
        <w:t xml:space="preserve"> (Ipsos, 2024, ipsos.com/en-za/stokvels-remain-untapped-human-banks-south-africa; The Star/IOL, 2025, thestar.co.za/news/south-africa/2025-07-27-stokvels-hold-billions-but-are-they-missing-the-bigger-financial-opportunity--national-savings-month). The Old Mutual S&amp;IM finds </w:t>
      </w:r>
      <w:r w:rsidRPr="004000BC">
        <w:rPr>
          <w:rFonts w:ascii="Times New Roman" w:eastAsia="Times New Roman" w:hAnsi="Times New Roman" w:cs="Times New Roman"/>
          <w:b/>
          <w:bCs/>
          <w:kern w:val="0"/>
          <w:lang w:eastAsia="en-GB"/>
          <w14:ligatures w14:val="none"/>
        </w:rPr>
        <w:t>59% of black households contribute to a stokvel monthly, and over 70% of black households earning above R40,000/month still use them</w:t>
      </w:r>
      <w:r w:rsidRPr="004000BC">
        <w:rPr>
          <w:rFonts w:ascii="Times New Roman" w:eastAsia="Times New Roman" w:hAnsi="Times New Roman" w:cs="Times New Roman"/>
          <w:kern w:val="0"/>
          <w:lang w:eastAsia="en-GB"/>
          <w14:ligatures w14:val="none"/>
        </w:rPr>
        <w:t xml:space="preserve"> (JSE Magazine, jsemagazine.co.za/african-markets/strength-numbers). Low-income SA already saves. The literacy product needs to slot into existing infrastructure (stokvels, WhatsApp groups, employer payroll), not pretend the country is starting from zero.</w:t>
      </w:r>
    </w:p>
    <w:p w14:paraId="5C4551E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What we could not verify in this research scope and the founder should not rely on without re-checking: r/PersonalFinanceZA exact subscriber count, TikTok hashtag aggregate view counts (#MoneyTok, #SAFinance, #StokvelSA), and standalone YouTube subscriber counts for several creators were not publicly accessible during research — flagged as research gaps to be re-validated via direct logged-in access.</w:t>
      </w:r>
    </w:p>
    <w:p w14:paraId="6A64A9D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9F64F50">
          <v:rect id="_x0000_i1028" style="width:0;height:1.5pt" o:hralign="center" o:hrstd="t" o:hr="t" fillcolor="#a0a0a0" stroked="f"/>
        </w:pict>
      </w:r>
    </w:p>
    <w:p w14:paraId="32D3A406"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4. Competitive landscape — the whitespace is narrower than it looks</w:t>
      </w:r>
    </w:p>
    <w:p w14:paraId="7C483FA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4.1 Direct competitors</w:t>
      </w:r>
    </w:p>
    <w:p w14:paraId="7ABE38A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Capitec MoneyUp Academy is the elephant in the room.</w:t>
      </w:r>
      <w:r w:rsidRPr="004000BC">
        <w:rPr>
          <w:rFonts w:ascii="Times New Roman" w:eastAsia="Times New Roman" w:hAnsi="Times New Roman" w:cs="Times New Roman"/>
          <w:kern w:val="0"/>
          <w:lang w:eastAsia="en-GB"/>
          <w14:ligatures w14:val="none"/>
        </w:rPr>
        <w:t xml:space="preserve"> Capitec launched what it explicitly markets as a "gamified learning platform" with points, badges and leaderboards in September 2020 (ITWeb, 2020, itweb.co.za/content/xnklOvzLJe9M4Ymz; Capitec, capitecbank.co.za/live-better/money-up/learning/live-better-academy). It sits inside the Capitec mobile app, which has </w:t>
      </w:r>
      <w:r w:rsidRPr="004000BC">
        <w:rPr>
          <w:rFonts w:ascii="Times New Roman" w:eastAsia="Times New Roman" w:hAnsi="Times New Roman" w:cs="Times New Roman"/>
          <w:b/>
          <w:bCs/>
          <w:kern w:val="0"/>
          <w:lang w:eastAsia="en-GB"/>
          <w14:ligatures w14:val="none"/>
        </w:rPr>
        <w:t>24 million clients and 13 million app users</w:t>
      </w:r>
      <w:r w:rsidRPr="004000BC">
        <w:rPr>
          <w:rFonts w:ascii="Times New Roman" w:eastAsia="Times New Roman" w:hAnsi="Times New Roman" w:cs="Times New Roman"/>
          <w:kern w:val="0"/>
          <w:lang w:eastAsia="en-GB"/>
          <w14:ligatures w14:val="none"/>
        </w:rPr>
        <w:t xml:space="preserve">, with </w:t>
      </w:r>
      <w:r w:rsidRPr="004000BC">
        <w:rPr>
          <w:rFonts w:ascii="Times New Roman" w:eastAsia="Times New Roman" w:hAnsi="Times New Roman" w:cs="Times New Roman"/>
          <w:b/>
          <w:bCs/>
          <w:kern w:val="0"/>
          <w:lang w:eastAsia="en-GB"/>
          <w14:ligatures w14:val="none"/>
        </w:rPr>
        <w:t>Live Better having 6.5 million active users</w:t>
      </w:r>
      <w:r w:rsidRPr="004000BC">
        <w:rPr>
          <w:rFonts w:ascii="Times New Roman" w:eastAsia="Times New Roman" w:hAnsi="Times New Roman" w:cs="Times New Roman"/>
          <w:kern w:val="0"/>
          <w:lang w:eastAsia="en-GB"/>
          <w14:ligatures w14:val="none"/>
        </w:rPr>
        <w:t xml:space="preserve"> (Moneyweb, moneyweb.co.za/news/tech/capitecs-live-better-rewards-just-got-better). Capitec also operates </w:t>
      </w:r>
      <w:r w:rsidRPr="004000BC">
        <w:rPr>
          <w:rFonts w:ascii="Times New Roman" w:eastAsia="Times New Roman" w:hAnsi="Times New Roman" w:cs="Times New Roman"/>
          <w:b/>
          <w:bCs/>
          <w:kern w:val="0"/>
          <w:lang w:eastAsia="en-GB"/>
          <w14:ligatures w14:val="none"/>
        </w:rPr>
        <w:t>MoneyUp Chat/"Moola"</w:t>
      </w:r>
      <w:r w:rsidRPr="004000BC">
        <w:rPr>
          <w:rFonts w:ascii="Times New Roman" w:eastAsia="Times New Roman" w:hAnsi="Times New Roman" w:cs="Times New Roman"/>
          <w:kern w:val="0"/>
          <w:lang w:eastAsia="en-GB"/>
          <w14:ligatures w14:val="none"/>
        </w:rPr>
        <w:t xml:space="preserve">, a WhatsApp-based chatbot teaching budgeting, compound interest, inflation, savings and </w:t>
      </w:r>
      <w:r w:rsidRPr="004000BC">
        <w:rPr>
          <w:rFonts w:ascii="Times New Roman" w:eastAsia="Times New Roman" w:hAnsi="Times New Roman" w:cs="Times New Roman"/>
          <w:kern w:val="0"/>
          <w:lang w:eastAsia="en-GB"/>
          <w14:ligatures w14:val="none"/>
        </w:rPr>
        <w:lastRenderedPageBreak/>
        <w:t>retirement, built by Helm (ITWeb, itweb.co.za/article/capitecs-moola-chatbot-teaches-financial-literacy/lwrKxq3YA4b7mg1o). If "gamified financial literacy for South Africans" is the value proposition, Capitec is already shipping it at scale to mass-market customers. A Fundi pitch that ignores Capitec will lose investor credibility.</w:t>
      </w:r>
    </w:p>
    <w:p w14:paraId="6E90B38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Vault22 (formerly 22seven)</w:t>
      </w:r>
      <w:r w:rsidRPr="004000BC">
        <w:rPr>
          <w:rFonts w:ascii="Times New Roman" w:eastAsia="Times New Roman" w:hAnsi="Times New Roman" w:cs="Times New Roman"/>
          <w:kern w:val="0"/>
          <w:lang w:eastAsia="en-GB"/>
          <w14:ligatures w14:val="none"/>
        </w:rPr>
        <w:t xml:space="preserve"> is now positioning itself with gamified financial-fitness levels (Rookie → Enthusiast → Competitor → Expert → Elite), backed by SC Ventures and Old Mutual's NEXT176 (ITWeb, 2024, itweb.co.za/article/vault22-aims-to-improve-south-africans-financial-health/O2rQGqAEb2nqd1ea). It is a wealth-management and budgeting product that surfaces educational nudges, not a literacy-first product — but it is the heaviest-funded incumbent in the broader category.</w:t>
      </w:r>
    </w:p>
    <w:p w14:paraId="4044909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Discovery Vitality Money</w:t>
      </w:r>
      <w:r w:rsidRPr="004000BC">
        <w:rPr>
          <w:rFonts w:ascii="Times New Roman" w:eastAsia="Times New Roman" w:hAnsi="Times New Roman" w:cs="Times New Roman"/>
          <w:kern w:val="0"/>
          <w:lang w:eastAsia="en-GB"/>
          <w14:ligatures w14:val="none"/>
        </w:rPr>
        <w:t xml:space="preserve"> is described by the UN Secretary-General's Special Advocate for Inclusive Finance as using </w:t>
      </w:r>
      <w:r w:rsidRPr="004000BC">
        <w:rPr>
          <w:rFonts w:ascii="Times New Roman" w:eastAsia="Times New Roman" w:hAnsi="Times New Roman" w:cs="Times New Roman"/>
          <w:i/>
          <w:iCs/>
          <w:kern w:val="0"/>
          <w:lang w:eastAsia="en-GB"/>
          <w14:ligatures w14:val="none"/>
        </w:rPr>
        <w:t>"behavioural economics, gamification, and incentives to encourage customers to adopt and sustain healthy financial habits"</w:t>
      </w:r>
      <w:r w:rsidRPr="004000BC">
        <w:rPr>
          <w:rFonts w:ascii="Times New Roman" w:eastAsia="Times New Roman" w:hAnsi="Times New Roman" w:cs="Times New Roman"/>
          <w:kern w:val="0"/>
          <w:lang w:eastAsia="en-GB"/>
          <w14:ligatures w14:val="none"/>
        </w:rPr>
        <w:t xml:space="preserve"> (UNSGSA, 2025, unsgsa.org/stories/making-healthy-choices-habit-discovery-banks-vitality-money-program-encourages-behavior-change-better-financial-health). Discovery Bank has ~1.2 million accounts. The product is the most sophisticated bank-led behavioural-finance system in SA but gated behind a premium credit product.</w:t>
      </w:r>
    </w:p>
    <w:p w14:paraId="216CF55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Franc</w:t>
      </w:r>
      <w:r w:rsidRPr="004000BC">
        <w:rPr>
          <w:rFonts w:ascii="Times New Roman" w:eastAsia="Times New Roman" w:hAnsi="Times New Roman" w:cs="Times New Roman"/>
          <w:kern w:val="0"/>
          <w:lang w:eastAsia="en-GB"/>
          <w14:ligatures w14:val="none"/>
        </w:rPr>
        <w:t xml:space="preserve"> raised R8 million in 2022 (ITWeb, itweb.co.za/article/franc-expands-offerings-after-r8m-funding-boost/dgp45vaBYOr7X9l8) and reports 407% customer growth over 2021–22, with bite-sized in-app tips, streaks, challenges and the Franc Academy content platform — </w:t>
      </w:r>
      <w:r w:rsidRPr="004000BC">
        <w:rPr>
          <w:rFonts w:ascii="Times New Roman" w:eastAsia="Times New Roman" w:hAnsi="Times New Roman" w:cs="Times New Roman"/>
          <w:i/>
          <w:iCs/>
          <w:kern w:val="0"/>
          <w:lang w:eastAsia="en-GB"/>
          <w14:ligatures w14:val="none"/>
        </w:rPr>
        <w:t>the closest like-for-like to what Fundi proposes, except it sells an investment product alongside</w:t>
      </w:r>
      <w:r w:rsidRPr="004000BC">
        <w:rPr>
          <w:rFonts w:ascii="Times New Roman" w:eastAsia="Times New Roman" w:hAnsi="Times New Roman" w:cs="Times New Roman"/>
          <w:kern w:val="0"/>
          <w:lang w:eastAsia="en-GB"/>
          <w14:ligatures w14:val="none"/>
        </w:rPr>
        <w:t>.</w:t>
      </w:r>
    </w:p>
    <w:p w14:paraId="6C0D9CD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Bettr is the cautionary tale.</w:t>
      </w:r>
      <w:r w:rsidRPr="004000BC">
        <w:rPr>
          <w:rFonts w:ascii="Times New Roman" w:eastAsia="Times New Roman" w:hAnsi="Times New Roman" w:cs="Times New Roman"/>
          <w:kern w:val="0"/>
          <w:lang w:eastAsia="en-GB"/>
          <w14:ligatures w14:val="none"/>
        </w:rPr>
        <w:t xml:space="preserve"> Founded 2015 as a creator-economy neobank with financial-literacy ambitions, it was effectively shut down in 2022 without a formal announcement, with app and website taken down and no annual returns filed for 2022–23 (Hypertext, 2024, htxt.co.za/2024/02/what-happened-to-bettr-that-bank-for-south-african-creators).</w:t>
      </w:r>
    </w:p>
    <w:p w14:paraId="6146DCD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4.2 International players</w:t>
      </w:r>
    </w:p>
    <w:p w14:paraId="76920960"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No major international gamified-financial-literacy app currently serves South Africa in a localised way. Zogo is B2B for US banks with rewards redeemable in US gift cards; Greenlight and Step are US-only teen banking; Cleo's App Store listing explicitly states </w:t>
      </w:r>
      <w:r w:rsidRPr="004000BC">
        <w:rPr>
          <w:rFonts w:ascii="Times New Roman" w:eastAsia="Times New Roman" w:hAnsi="Times New Roman" w:cs="Times New Roman"/>
          <w:i/>
          <w:iCs/>
          <w:kern w:val="0"/>
          <w:lang w:eastAsia="en-GB"/>
          <w14:ligatures w14:val="none"/>
        </w:rPr>
        <w:t>"Cleo is currently only available to users in the United States"</w:t>
      </w:r>
      <w:r w:rsidRPr="004000BC">
        <w:rPr>
          <w:rFonts w:ascii="Times New Roman" w:eastAsia="Times New Roman" w:hAnsi="Times New Roman" w:cs="Times New Roman"/>
          <w:kern w:val="0"/>
          <w:lang w:eastAsia="en-GB"/>
          <w14:ligatures w14:val="none"/>
        </w:rPr>
        <w:t xml:space="preserve"> (apps.apple.com/us/app/cleo-ai-smart-money-manager/id1447274646); Long Game was acquired by Truist in May 2022 and </w:t>
      </w:r>
      <w:r w:rsidRPr="004000BC">
        <w:rPr>
          <w:rFonts w:ascii="Times New Roman" w:eastAsia="Times New Roman" w:hAnsi="Times New Roman" w:cs="Times New Roman"/>
          <w:b/>
          <w:bCs/>
          <w:kern w:val="0"/>
          <w:lang w:eastAsia="en-GB"/>
          <w14:ligatures w14:val="none"/>
        </w:rPr>
        <w:t>then discontinued</w:t>
      </w:r>
      <w:r w:rsidRPr="004000BC">
        <w:rPr>
          <w:rFonts w:ascii="Times New Roman" w:eastAsia="Times New Roman" w:hAnsi="Times New Roman" w:cs="Times New Roman"/>
          <w:kern w:val="0"/>
          <w:lang w:eastAsia="en-GB"/>
          <w14:ligatures w14:val="none"/>
        </w:rPr>
        <w:t xml:space="preserve"> (designer Ryan Welch's UX portfolio confirms, ryanwelchux.com). Several global "Duolingo for finance" attempts exist (HIGH FIVE in Germany; Money Masters in Switzerland with ~$50k 2022 revenue; FunFi in UAE; Fingo in India; PiP World) but none have meaningful traction or SA presence.</w:t>
      </w:r>
    </w:p>
    <w:p w14:paraId="5B7EA4B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This is genuine whitespace — </w:t>
      </w:r>
      <w:r w:rsidRPr="004000BC">
        <w:rPr>
          <w:rFonts w:ascii="Times New Roman" w:eastAsia="Times New Roman" w:hAnsi="Times New Roman" w:cs="Times New Roman"/>
          <w:i/>
          <w:iCs/>
          <w:kern w:val="0"/>
          <w:lang w:eastAsia="en-GB"/>
          <w14:ligatures w14:val="none"/>
        </w:rPr>
        <w:t>if</w:t>
      </w:r>
      <w:r w:rsidRPr="004000BC">
        <w:rPr>
          <w:rFonts w:ascii="Times New Roman" w:eastAsia="Times New Roman" w:hAnsi="Times New Roman" w:cs="Times New Roman"/>
          <w:kern w:val="0"/>
          <w:lang w:eastAsia="en-GB"/>
          <w14:ligatures w14:val="none"/>
        </w:rPr>
        <w:t xml:space="preserve"> the product is more than "learn finance through a streak."</w:t>
      </w:r>
    </w:p>
    <w:p w14:paraId="24817EC2"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4.3 Indirect competitors</w:t>
      </w:r>
    </w:p>
    <w:p w14:paraId="16E8AB80"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Almost every major SA financial institution runs financial education at scale, but as broadcast content gated to existing customers. </w:t>
      </w:r>
      <w:r w:rsidRPr="004000BC">
        <w:rPr>
          <w:rFonts w:ascii="Times New Roman" w:eastAsia="Times New Roman" w:hAnsi="Times New Roman" w:cs="Times New Roman"/>
          <w:b/>
          <w:bCs/>
          <w:kern w:val="0"/>
          <w:lang w:eastAsia="en-GB"/>
          <w14:ligatures w14:val="none"/>
        </w:rPr>
        <w:t>Old Mutual On The Money</w:t>
      </w:r>
      <w:r w:rsidRPr="004000BC">
        <w:rPr>
          <w:rFonts w:ascii="Times New Roman" w:eastAsia="Times New Roman" w:hAnsi="Times New Roman" w:cs="Times New Roman"/>
          <w:kern w:val="0"/>
          <w:lang w:eastAsia="en-GB"/>
          <w14:ligatures w14:val="none"/>
        </w:rPr>
        <w:t xml:space="preserve"> claims 400,000 people through workshops and 15 million via media platforms over its lifetime (FAnews, </w:t>
      </w:r>
      <w:r w:rsidRPr="004000BC">
        <w:rPr>
          <w:rFonts w:ascii="Times New Roman" w:eastAsia="Times New Roman" w:hAnsi="Times New Roman" w:cs="Times New Roman"/>
          <w:kern w:val="0"/>
          <w:lang w:eastAsia="en-GB"/>
          <w14:ligatures w14:val="none"/>
        </w:rPr>
        <w:lastRenderedPageBreak/>
        <w:t xml:space="preserve">fanews.co.za/article/company-news-results/1/old-mutual/1049/old-mutual-launches-on-the-money-digital-tool-for-debt-reduction-education/17866). </w:t>
      </w:r>
      <w:r w:rsidRPr="004000BC">
        <w:rPr>
          <w:rFonts w:ascii="Times New Roman" w:eastAsia="Times New Roman" w:hAnsi="Times New Roman" w:cs="Times New Roman"/>
          <w:b/>
          <w:bCs/>
          <w:kern w:val="0"/>
          <w:lang w:eastAsia="en-GB"/>
          <w14:ligatures w14:val="none"/>
        </w:rPr>
        <w:t>Absa ReadyToWork</w:t>
      </w:r>
      <w:r w:rsidRPr="004000BC">
        <w:rPr>
          <w:rFonts w:ascii="Times New Roman" w:eastAsia="Times New Roman" w:hAnsi="Times New Roman" w:cs="Times New Roman"/>
          <w:kern w:val="0"/>
          <w:lang w:eastAsia="en-GB"/>
          <w14:ligatures w14:val="none"/>
        </w:rPr>
        <w:t xml:space="preserve"> has reached 548,100 youth across African markets since 2016 (Absa Africa, absa.africa/getting-readytowork). </w:t>
      </w:r>
      <w:r w:rsidRPr="004000BC">
        <w:rPr>
          <w:rFonts w:ascii="Times New Roman" w:eastAsia="Times New Roman" w:hAnsi="Times New Roman" w:cs="Times New Roman"/>
          <w:b/>
          <w:bCs/>
          <w:kern w:val="0"/>
          <w:lang w:eastAsia="en-GB"/>
          <w14:ligatures w14:val="none"/>
        </w:rPr>
        <w:t>Standard Bank WalletWise</w:t>
      </w:r>
      <w:r w:rsidRPr="004000BC">
        <w:rPr>
          <w:rFonts w:ascii="Times New Roman" w:eastAsia="Times New Roman" w:hAnsi="Times New Roman" w:cs="Times New Roman"/>
          <w:kern w:val="0"/>
          <w:lang w:eastAsia="en-GB"/>
          <w14:ligatures w14:val="none"/>
        </w:rPr>
        <w:t xml:space="preserve"> runs TV-based literacy content with celebrity creators. </w:t>
      </w:r>
      <w:r w:rsidRPr="004000BC">
        <w:rPr>
          <w:rFonts w:ascii="Times New Roman" w:eastAsia="Times New Roman" w:hAnsi="Times New Roman" w:cs="Times New Roman"/>
          <w:b/>
          <w:bCs/>
          <w:kern w:val="0"/>
          <w:lang w:eastAsia="en-GB"/>
          <w14:ligatures w14:val="none"/>
        </w:rPr>
        <w:t>FNB nav» Money</w:t>
      </w:r>
      <w:r w:rsidRPr="004000BC">
        <w:rPr>
          <w:rFonts w:ascii="Times New Roman" w:eastAsia="Times New Roman" w:hAnsi="Times New Roman" w:cs="Times New Roman"/>
          <w:kern w:val="0"/>
          <w:lang w:eastAsia="en-GB"/>
          <w14:ligatures w14:val="none"/>
        </w:rPr>
        <w:t xml:space="preserve"> is embedded in the FNB app. </w:t>
      </w:r>
      <w:r w:rsidRPr="004000BC">
        <w:rPr>
          <w:rFonts w:ascii="Times New Roman" w:eastAsia="Times New Roman" w:hAnsi="Times New Roman" w:cs="Times New Roman"/>
          <w:b/>
          <w:bCs/>
          <w:kern w:val="0"/>
          <w:lang w:eastAsia="en-GB"/>
          <w14:ligatures w14:val="none"/>
        </w:rPr>
        <w:t>Liberty's own Mind My Money programme</w:t>
      </w:r>
      <w:r w:rsidRPr="004000BC">
        <w:rPr>
          <w:rFonts w:ascii="Times New Roman" w:eastAsia="Times New Roman" w:hAnsi="Times New Roman" w:cs="Times New Roman"/>
          <w:kern w:val="0"/>
          <w:lang w:eastAsia="en-GB"/>
          <w14:ligatures w14:val="none"/>
        </w:rPr>
        <w:t xml:space="preserve"> has run since 2020 with budgeting/debt/savings modules (Liberty, liberty.co.za/media-insights/libertys-mind-my-money-programme-helps-people-on-their-journey-to-financial-freedom) — meaning the founder's employer has an existing literacy product that an external app would either compete with or formalise.</w:t>
      </w:r>
    </w:p>
    <w:p w14:paraId="77080ADD"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4.4 The actual whitespace</w:t>
      </w:r>
    </w:p>
    <w:p w14:paraId="0A95B76D"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When you triangulate, the genuine gap is not "gamified financial literacy app for South Africa" — Capitec already ships that to 13M app users. The gap is </w:t>
      </w:r>
      <w:r w:rsidRPr="004000BC">
        <w:rPr>
          <w:rFonts w:ascii="Times New Roman" w:eastAsia="Times New Roman" w:hAnsi="Times New Roman" w:cs="Times New Roman"/>
          <w:b/>
          <w:bCs/>
          <w:kern w:val="0"/>
          <w:lang w:eastAsia="en-GB"/>
          <w14:ligatures w14:val="none"/>
        </w:rPr>
        <w:t>a product-neutral, employer/distribution-partner-funded, behaviour-architecture product that serves a specific high-stress moment (e.g., the two-pot decision, debt review, first job, first child, divorce, retrenchment) and pairs heuristics-based education with commitment devices and goal-setting</w:t>
      </w:r>
      <w:r w:rsidRPr="004000BC">
        <w:rPr>
          <w:rFonts w:ascii="Times New Roman" w:eastAsia="Times New Roman" w:hAnsi="Times New Roman" w:cs="Times New Roman"/>
          <w:kern w:val="0"/>
          <w:lang w:eastAsia="en-GB"/>
          <w14:ligatures w14:val="none"/>
        </w:rPr>
        <w:t xml:space="preserve"> — i.e., the product the Carpena/Cole/Shapiro/Zia (2019) and Drexler/Fischer/Schoar (2014) evidence actually supports. Build for the </w:t>
      </w:r>
      <w:r w:rsidRPr="004000BC">
        <w:rPr>
          <w:rFonts w:ascii="Times New Roman" w:eastAsia="Times New Roman" w:hAnsi="Times New Roman" w:cs="Times New Roman"/>
          <w:i/>
          <w:iCs/>
          <w:kern w:val="0"/>
          <w:lang w:eastAsia="en-GB"/>
          <w14:ligatures w14:val="none"/>
        </w:rPr>
        <w:t>moment</w:t>
      </w:r>
      <w:r w:rsidRPr="004000BC">
        <w:rPr>
          <w:rFonts w:ascii="Times New Roman" w:eastAsia="Times New Roman" w:hAnsi="Times New Roman" w:cs="Times New Roman"/>
          <w:kern w:val="0"/>
          <w:lang w:eastAsia="en-GB"/>
          <w14:ligatures w14:val="none"/>
        </w:rPr>
        <w:t>, not the demographic.</w:t>
      </w:r>
    </w:p>
    <w:p w14:paraId="2CAA7CB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494D626A">
          <v:rect id="_x0000_i1029" style="width:0;height:1.5pt" o:hralign="center" o:hrstd="t" o:hr="t" fillcolor="#a0a0a0" stroked="f"/>
        </w:pict>
      </w:r>
    </w:p>
    <w:p w14:paraId="237FEB40"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5. Behavioural science — the section that should hurt the most</w:t>
      </w:r>
    </w:p>
    <w:p w14:paraId="7D70BD81"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5.1 The case against pure financial-literacy education</w:t>
      </w:r>
    </w:p>
    <w:p w14:paraId="6922F41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Three papers must be in the founder's deck before any investor reads it.</w:t>
      </w:r>
    </w:p>
    <w:p w14:paraId="7CFB550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Fernandes, Lynch &amp; Netemeyer (2014, </w:t>
      </w:r>
      <w:r w:rsidRPr="004000BC">
        <w:rPr>
          <w:rFonts w:ascii="Times New Roman" w:eastAsia="Times New Roman" w:hAnsi="Times New Roman" w:cs="Times New Roman"/>
          <w:b/>
          <w:bCs/>
          <w:i/>
          <w:iCs/>
          <w:kern w:val="0"/>
          <w:lang w:eastAsia="en-GB"/>
          <w14:ligatures w14:val="none"/>
        </w:rPr>
        <w:t>Management Science</w:t>
      </w:r>
      <w:r w:rsidRPr="004000BC">
        <w:rPr>
          <w:rFonts w:ascii="Times New Roman" w:eastAsia="Times New Roman" w:hAnsi="Times New Roman" w:cs="Times New Roman"/>
          <w:b/>
          <w:bCs/>
          <w:kern w:val="0"/>
          <w:lang w:eastAsia="en-GB"/>
          <w14:ligatures w14:val="none"/>
        </w:rPr>
        <w:t xml:space="preserve"> 60(8): 1861–1883, DOI 10.1287/mnsc.2013.1849)</w:t>
      </w:r>
      <w:r w:rsidRPr="004000BC">
        <w:rPr>
          <w:rFonts w:ascii="Times New Roman" w:eastAsia="Times New Roman" w:hAnsi="Times New Roman" w:cs="Times New Roman"/>
          <w:kern w:val="0"/>
          <w:lang w:eastAsia="en-GB"/>
          <w14:ligatures w14:val="none"/>
        </w:rPr>
        <w:t xml:space="preserve"> found from 168 papers that </w:t>
      </w:r>
      <w:r w:rsidRPr="004000BC">
        <w:rPr>
          <w:rFonts w:ascii="Times New Roman" w:eastAsia="Times New Roman" w:hAnsi="Times New Roman" w:cs="Times New Roman"/>
          <w:i/>
          <w:iCs/>
          <w:kern w:val="0"/>
          <w:lang w:eastAsia="en-GB"/>
          <w14:ligatures w14:val="none"/>
        </w:rPr>
        <w:t>"interventions to improve financial literacy explain only 0.1% of the variance in financial behaviors studied, with weaker effects in low-income samples"</w:t>
      </w:r>
      <w:r w:rsidRPr="004000BC">
        <w:rPr>
          <w:rFonts w:ascii="Times New Roman" w:eastAsia="Times New Roman" w:hAnsi="Times New Roman" w:cs="Times New Roman"/>
          <w:kern w:val="0"/>
          <w:lang w:eastAsia="en-GB"/>
          <w14:ligatures w14:val="none"/>
        </w:rPr>
        <w:t xml:space="preserve"> and that </w:t>
      </w:r>
      <w:r w:rsidRPr="004000BC">
        <w:rPr>
          <w:rFonts w:ascii="Times New Roman" w:eastAsia="Times New Roman" w:hAnsi="Times New Roman" w:cs="Times New Roman"/>
          <w:i/>
          <w:iCs/>
          <w:kern w:val="0"/>
          <w:lang w:eastAsia="en-GB"/>
          <w14:ligatures w14:val="none"/>
        </w:rPr>
        <w:t>"even large interventions with many hours of instruction have negligible effects on behavior 20 months or more from the time of intervention"</w:t>
      </w:r>
      <w:r w:rsidRPr="004000BC">
        <w:rPr>
          <w:rFonts w:ascii="Times New Roman" w:eastAsia="Times New Roman" w:hAnsi="Times New Roman" w:cs="Times New Roman"/>
          <w:kern w:val="0"/>
          <w:lang w:eastAsia="en-GB"/>
          <w14:ligatures w14:val="none"/>
        </w:rPr>
        <w:t xml:space="preserve">. Crucially, they carve out a constructive exception: </w:t>
      </w:r>
      <w:r w:rsidRPr="004000BC">
        <w:rPr>
          <w:rFonts w:ascii="Times New Roman" w:eastAsia="Times New Roman" w:hAnsi="Times New Roman" w:cs="Times New Roman"/>
          <w:i/>
          <w:iCs/>
          <w:kern w:val="0"/>
          <w:lang w:eastAsia="en-GB"/>
          <w14:ligatures w14:val="none"/>
        </w:rPr>
        <w:t>"a real but narrower role for 'just-in-time' financial education tied to specific behaviors it intends to help"</w:t>
      </w:r>
      <w:r w:rsidRPr="004000BC">
        <w:rPr>
          <w:rFonts w:ascii="Times New Roman" w:eastAsia="Times New Roman" w:hAnsi="Times New Roman" w:cs="Times New Roman"/>
          <w:kern w:val="0"/>
          <w:lang w:eastAsia="en-GB"/>
          <w14:ligatures w14:val="none"/>
        </w:rPr>
        <w:t>. That exception is the only academically defensible perch for a Fundi-style product.</w:t>
      </w:r>
    </w:p>
    <w:p w14:paraId="50FA91C3"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Willis (2008, </w:t>
      </w:r>
      <w:r w:rsidRPr="004000BC">
        <w:rPr>
          <w:rFonts w:ascii="Times New Roman" w:eastAsia="Times New Roman" w:hAnsi="Times New Roman" w:cs="Times New Roman"/>
          <w:b/>
          <w:bCs/>
          <w:i/>
          <w:iCs/>
          <w:kern w:val="0"/>
          <w:lang w:eastAsia="en-GB"/>
          <w14:ligatures w14:val="none"/>
        </w:rPr>
        <w:t>Iowa Law Review</w:t>
      </w:r>
      <w:r w:rsidRPr="004000BC">
        <w:rPr>
          <w:rFonts w:ascii="Times New Roman" w:eastAsia="Times New Roman" w:hAnsi="Times New Roman" w:cs="Times New Roman"/>
          <w:b/>
          <w:bCs/>
          <w:kern w:val="0"/>
          <w:lang w:eastAsia="en-GB"/>
          <w14:ligatures w14:val="none"/>
        </w:rPr>
        <w:t xml:space="preserve"> 94: 197; SSRN 1105384; and 2011, </w:t>
      </w:r>
      <w:r w:rsidRPr="004000BC">
        <w:rPr>
          <w:rFonts w:ascii="Times New Roman" w:eastAsia="Times New Roman" w:hAnsi="Times New Roman" w:cs="Times New Roman"/>
          <w:b/>
          <w:bCs/>
          <w:i/>
          <w:iCs/>
          <w:kern w:val="0"/>
          <w:lang w:eastAsia="en-GB"/>
          <w14:ligatures w14:val="none"/>
        </w:rPr>
        <w:t>American Economic Review</w:t>
      </w:r>
      <w:r w:rsidRPr="004000BC">
        <w:rPr>
          <w:rFonts w:ascii="Times New Roman" w:eastAsia="Times New Roman" w:hAnsi="Times New Roman" w:cs="Times New Roman"/>
          <w:b/>
          <w:bCs/>
          <w:kern w:val="0"/>
          <w:lang w:eastAsia="en-GB"/>
          <w14:ligatures w14:val="none"/>
        </w:rPr>
        <w:t xml:space="preserve"> 101(3): 429–434, DOI 10.1257/aer.101.3.429)</w:t>
      </w:r>
      <w:r w:rsidRPr="004000BC">
        <w:rPr>
          <w:rFonts w:ascii="Times New Roman" w:eastAsia="Times New Roman" w:hAnsi="Times New Roman" w:cs="Times New Roman"/>
          <w:kern w:val="0"/>
          <w:lang w:eastAsia="en-GB"/>
          <w14:ligatures w14:val="none"/>
        </w:rPr>
        <w:t xml:space="preserve"> goes further: </w:t>
      </w:r>
      <w:r w:rsidRPr="004000BC">
        <w:rPr>
          <w:rFonts w:ascii="Times New Roman" w:eastAsia="Times New Roman" w:hAnsi="Times New Roman" w:cs="Times New Roman"/>
          <w:i/>
          <w:iCs/>
          <w:kern w:val="0"/>
          <w:lang w:eastAsia="en-GB"/>
          <w14:ligatures w14:val="none"/>
        </w:rPr>
        <w:t>"the predicate belief in the effectiveness of financial literacy education lacks empirical support… For some consumers, financial education appears to increase confidence without improving ability, leading to worse decisions."</w:t>
      </w:r>
      <w:r w:rsidRPr="004000BC">
        <w:rPr>
          <w:rFonts w:ascii="Times New Roman" w:eastAsia="Times New Roman" w:hAnsi="Times New Roman" w:cs="Times New Roman"/>
          <w:kern w:val="0"/>
          <w:lang w:eastAsia="en-GB"/>
          <w14:ligatures w14:val="none"/>
        </w:rPr>
        <w:t xml:space="preserve"> This is the "you might make users worse off" risk and it is published in top-five law and economics journals.</w:t>
      </w:r>
    </w:p>
    <w:p w14:paraId="37B6CEF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Cole, Sampson &amp; Zia (2011, </w:t>
      </w:r>
      <w:r w:rsidRPr="004000BC">
        <w:rPr>
          <w:rFonts w:ascii="Times New Roman" w:eastAsia="Times New Roman" w:hAnsi="Times New Roman" w:cs="Times New Roman"/>
          <w:b/>
          <w:bCs/>
          <w:i/>
          <w:iCs/>
          <w:kern w:val="0"/>
          <w:lang w:eastAsia="en-GB"/>
          <w14:ligatures w14:val="none"/>
        </w:rPr>
        <w:t>Journal of Finance</w:t>
      </w:r>
      <w:r w:rsidRPr="004000BC">
        <w:rPr>
          <w:rFonts w:ascii="Times New Roman" w:eastAsia="Times New Roman" w:hAnsi="Times New Roman" w:cs="Times New Roman"/>
          <w:b/>
          <w:bCs/>
          <w:kern w:val="0"/>
          <w:lang w:eastAsia="en-GB"/>
          <w14:ligatures w14:val="none"/>
        </w:rPr>
        <w:t xml:space="preserve"> 66(6): 1933–1967)</w:t>
      </w:r>
      <w:r w:rsidRPr="004000BC">
        <w:rPr>
          <w:rFonts w:ascii="Times New Roman" w:eastAsia="Times New Roman" w:hAnsi="Times New Roman" w:cs="Times New Roman"/>
          <w:kern w:val="0"/>
          <w:lang w:eastAsia="en-GB"/>
          <w14:ligatures w14:val="none"/>
        </w:rPr>
        <w:t xml:space="preserve"> ran a randomised financial-education programme in Indonesia and found </w:t>
      </w:r>
      <w:r w:rsidRPr="004000BC">
        <w:rPr>
          <w:rFonts w:ascii="Times New Roman" w:eastAsia="Times New Roman" w:hAnsi="Times New Roman" w:cs="Times New Roman"/>
          <w:b/>
          <w:bCs/>
          <w:kern w:val="0"/>
          <w:lang w:eastAsia="en-GB"/>
          <w14:ligatures w14:val="none"/>
        </w:rPr>
        <w:t xml:space="preserve">no statistically significant effect on </w:t>
      </w:r>
      <w:r w:rsidRPr="004000BC">
        <w:rPr>
          <w:rFonts w:ascii="Times New Roman" w:eastAsia="Times New Roman" w:hAnsi="Times New Roman" w:cs="Times New Roman"/>
          <w:b/>
          <w:bCs/>
          <w:kern w:val="0"/>
          <w:lang w:eastAsia="en-GB"/>
          <w14:ligatures w14:val="none"/>
        </w:rPr>
        <w:lastRenderedPageBreak/>
        <w:t>bank-account opening</w:t>
      </w:r>
      <w:r w:rsidRPr="004000BC">
        <w:rPr>
          <w:rFonts w:ascii="Times New Roman" w:eastAsia="Times New Roman" w:hAnsi="Times New Roman" w:cs="Times New Roman"/>
          <w:kern w:val="0"/>
          <w:lang w:eastAsia="en-GB"/>
          <w14:ligatures w14:val="none"/>
        </w:rPr>
        <w:t xml:space="preserve"> for the full sample. A small price subsidy moved demand from 3.5% to 12.7%. The lesson: in low-income markets, the binding constraint is rarely knowledge.</w:t>
      </w:r>
    </w:p>
    <w:p w14:paraId="7B2EAD7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Bruhn, Leão, Legovini, Marchetti &amp; Zia (2016, </w:t>
      </w:r>
      <w:r w:rsidRPr="004000BC">
        <w:rPr>
          <w:rFonts w:ascii="Times New Roman" w:eastAsia="Times New Roman" w:hAnsi="Times New Roman" w:cs="Times New Roman"/>
          <w:b/>
          <w:bCs/>
          <w:i/>
          <w:iCs/>
          <w:kern w:val="0"/>
          <w:lang w:eastAsia="en-GB"/>
          <w14:ligatures w14:val="none"/>
        </w:rPr>
        <w:t>AEJ: Applied Economics</w:t>
      </w:r>
      <w:r w:rsidRPr="004000BC">
        <w:rPr>
          <w:rFonts w:ascii="Times New Roman" w:eastAsia="Times New Roman" w:hAnsi="Times New Roman" w:cs="Times New Roman"/>
          <w:b/>
          <w:bCs/>
          <w:kern w:val="0"/>
          <w:lang w:eastAsia="en-GB"/>
          <w14:ligatures w14:val="none"/>
        </w:rPr>
        <w:t xml:space="preserve"> 8(4): 256–295)</w:t>
      </w:r>
      <w:r w:rsidRPr="004000BC">
        <w:rPr>
          <w:rFonts w:ascii="Times New Roman" w:eastAsia="Times New Roman" w:hAnsi="Times New Roman" w:cs="Times New Roman"/>
          <w:kern w:val="0"/>
          <w:lang w:eastAsia="en-GB"/>
          <w14:ligatures w14:val="none"/>
        </w:rPr>
        <w:t xml:space="preserve"> evaluated a Brazilian high-school financial-education programme in 892 schools. Financial proficiency improved by 0.25 SD — but the same programme </w:t>
      </w:r>
      <w:r w:rsidRPr="004000BC">
        <w:rPr>
          <w:rFonts w:ascii="Times New Roman" w:eastAsia="Times New Roman" w:hAnsi="Times New Roman" w:cs="Times New Roman"/>
          <w:b/>
          <w:bCs/>
          <w:kern w:val="0"/>
          <w:lang w:eastAsia="en-GB"/>
          <w14:ligatures w14:val="none"/>
        </w:rPr>
        <w:t>increased students' use of expensive credit for consumer purchases</w:t>
      </w:r>
      <w:r w:rsidRPr="004000BC">
        <w:rPr>
          <w:rFonts w:ascii="Times New Roman" w:eastAsia="Times New Roman" w:hAnsi="Times New Roman" w:cs="Times New Roman"/>
          <w:kern w:val="0"/>
          <w:lang w:eastAsia="en-GB"/>
          <w14:ligatures w14:val="none"/>
        </w:rPr>
        <w:t>. The unintended-consequence risk is empirically documented.</w:t>
      </w:r>
    </w:p>
    <w:p w14:paraId="48C2E43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5.2 The partial rehabilitation</w:t>
      </w:r>
    </w:p>
    <w:p w14:paraId="77B8D36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Kaiser, Lusardi, Menkhoff &amp; Urban (2022, </w:t>
      </w:r>
      <w:r w:rsidRPr="004000BC">
        <w:rPr>
          <w:rFonts w:ascii="Times New Roman" w:eastAsia="Times New Roman" w:hAnsi="Times New Roman" w:cs="Times New Roman"/>
          <w:b/>
          <w:bCs/>
          <w:i/>
          <w:iCs/>
          <w:kern w:val="0"/>
          <w:lang w:eastAsia="en-GB"/>
          <w14:ligatures w14:val="none"/>
        </w:rPr>
        <w:t>Journal of Financial Economics</w:t>
      </w:r>
      <w:r w:rsidRPr="004000BC">
        <w:rPr>
          <w:rFonts w:ascii="Times New Roman" w:eastAsia="Times New Roman" w:hAnsi="Times New Roman" w:cs="Times New Roman"/>
          <w:b/>
          <w:bCs/>
          <w:kern w:val="0"/>
          <w:lang w:eastAsia="en-GB"/>
          <w14:ligatures w14:val="none"/>
        </w:rPr>
        <w:t xml:space="preserve"> 145(2): 255–272, DOI 10.1016/j.jfineco.2021.09.022)</w:t>
      </w:r>
      <w:r w:rsidRPr="004000BC">
        <w:rPr>
          <w:rFonts w:ascii="Times New Roman" w:eastAsia="Times New Roman" w:hAnsi="Times New Roman" w:cs="Times New Roman"/>
          <w:kern w:val="0"/>
          <w:lang w:eastAsia="en-GB"/>
          <w14:ligatures w14:val="none"/>
        </w:rPr>
        <w:t xml:space="preserve"> meta-analysed 76 RCTs with over 160,000 individuals and concluded effects </w:t>
      </w:r>
      <w:r w:rsidRPr="004000BC">
        <w:rPr>
          <w:rFonts w:ascii="Times New Roman" w:eastAsia="Times New Roman" w:hAnsi="Times New Roman" w:cs="Times New Roman"/>
          <w:i/>
          <w:iCs/>
          <w:kern w:val="0"/>
          <w:lang w:eastAsia="en-GB"/>
          <w14:ligatures w14:val="none"/>
        </w:rPr>
        <w:t>"are economically meaningful in size, similar to those realized by educational interventions in other domains, and are at least three times as large as the average effect documented in earlier work."</w:t>
      </w:r>
      <w:r w:rsidRPr="004000BC">
        <w:rPr>
          <w:rFonts w:ascii="Times New Roman" w:eastAsia="Times New Roman" w:hAnsi="Times New Roman" w:cs="Times New Roman"/>
          <w:kern w:val="0"/>
          <w:lang w:eastAsia="en-GB"/>
          <w14:ligatures w14:val="none"/>
        </w:rPr>
        <w:t xml:space="preserve"> Raw effect on behaviour was </w:t>
      </w:r>
      <w:r w:rsidRPr="004000BC">
        <w:rPr>
          <w:rFonts w:ascii="Times New Roman" w:eastAsia="Times New Roman" w:hAnsi="Times New Roman" w:cs="Times New Roman"/>
          <w:b/>
          <w:bCs/>
          <w:kern w:val="0"/>
          <w:lang w:eastAsia="en-GB"/>
          <w14:ligatures w14:val="none"/>
        </w:rPr>
        <w:t>0.094 SD</w:t>
      </w:r>
      <w:r w:rsidRPr="004000BC">
        <w:rPr>
          <w:rFonts w:ascii="Times New Roman" w:eastAsia="Times New Roman" w:hAnsi="Times New Roman" w:cs="Times New Roman"/>
          <w:kern w:val="0"/>
          <w:lang w:eastAsia="en-GB"/>
          <w14:ligatures w14:val="none"/>
        </w:rPr>
        <w:t xml:space="preserve">; on knowledge </w:t>
      </w:r>
      <w:r w:rsidRPr="004000BC">
        <w:rPr>
          <w:rFonts w:ascii="Times New Roman" w:eastAsia="Times New Roman" w:hAnsi="Times New Roman" w:cs="Times New Roman"/>
          <w:b/>
          <w:bCs/>
          <w:kern w:val="0"/>
          <w:lang w:eastAsia="en-GB"/>
          <w14:ligatures w14:val="none"/>
        </w:rPr>
        <w:t>0.186 SD</w:t>
      </w:r>
      <w:r w:rsidRPr="004000BC">
        <w:rPr>
          <w:rFonts w:ascii="Times New Roman" w:eastAsia="Times New Roman" w:hAnsi="Times New Roman" w:cs="Times New Roman"/>
          <w:kern w:val="0"/>
          <w:lang w:eastAsia="en-GB"/>
          <w14:ligatures w14:val="none"/>
        </w:rPr>
        <w:t xml:space="preserve">; after Andrews-Kasy publication-bias correction, </w:t>
      </w:r>
      <w:r w:rsidRPr="004000BC">
        <w:rPr>
          <w:rFonts w:ascii="Times New Roman" w:eastAsia="Times New Roman" w:hAnsi="Times New Roman" w:cs="Times New Roman"/>
          <w:b/>
          <w:bCs/>
          <w:kern w:val="0"/>
          <w:lang w:eastAsia="en-GB"/>
          <w14:ligatures w14:val="none"/>
        </w:rPr>
        <w:t>0.057 SD on behaviour and 0.15 SD on knowledge</w:t>
      </w:r>
      <w:r w:rsidRPr="004000BC">
        <w:rPr>
          <w:rFonts w:ascii="Times New Roman" w:eastAsia="Times New Roman" w:hAnsi="Times New Roman" w:cs="Times New Roman"/>
          <w:kern w:val="0"/>
          <w:lang w:eastAsia="en-GB"/>
          <w14:ligatures w14:val="none"/>
        </w:rPr>
        <w:t xml:space="preserve">. World Bank economist David McKenzie's honest reading: </w:t>
      </w:r>
      <w:r w:rsidRPr="004000BC">
        <w:rPr>
          <w:rFonts w:ascii="Times New Roman" w:eastAsia="Times New Roman" w:hAnsi="Times New Roman" w:cs="Times New Roman"/>
          <w:i/>
          <w:iCs/>
          <w:kern w:val="0"/>
          <w:lang w:eastAsia="en-GB"/>
          <w14:ligatures w14:val="none"/>
        </w:rPr>
        <w:t>"Taking these bias-adjusted estimates… these are still small in absolute terms… My takeaway has been that unless you get individuals right before they are about to make big financial decisions that they don't understand, then most financial education programs are not very popular, lead to small changes in knowledge, and even smaller changes in outcomes"</w:t>
      </w:r>
      <w:r w:rsidRPr="004000BC">
        <w:rPr>
          <w:rFonts w:ascii="Times New Roman" w:eastAsia="Times New Roman" w:hAnsi="Times New Roman" w:cs="Times New Roman"/>
          <w:kern w:val="0"/>
          <w:lang w:eastAsia="en-GB"/>
          <w14:ligatures w14:val="none"/>
        </w:rPr>
        <w:t xml:space="preserve"> (World Bank Development Impact Blog, 2022, blogs.worldbank.org/en/impactevaluations/do-financial-literacy-interventions-actually-work-better-i-think-they-do-and).</w:t>
      </w:r>
    </w:p>
    <w:p w14:paraId="08944CE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single strongest pro-thesis paper is </w:t>
      </w:r>
      <w:r w:rsidRPr="004000BC">
        <w:rPr>
          <w:rFonts w:ascii="Times New Roman" w:eastAsia="Times New Roman" w:hAnsi="Times New Roman" w:cs="Times New Roman"/>
          <w:b/>
          <w:bCs/>
          <w:kern w:val="0"/>
          <w:lang w:eastAsia="en-GB"/>
          <w14:ligatures w14:val="none"/>
        </w:rPr>
        <w:t xml:space="preserve">Drexler, Fischer &amp; Schoar (2014, </w:t>
      </w:r>
      <w:r w:rsidRPr="004000BC">
        <w:rPr>
          <w:rFonts w:ascii="Times New Roman" w:eastAsia="Times New Roman" w:hAnsi="Times New Roman" w:cs="Times New Roman"/>
          <w:b/>
          <w:bCs/>
          <w:i/>
          <w:iCs/>
          <w:kern w:val="0"/>
          <w:lang w:eastAsia="en-GB"/>
          <w14:ligatures w14:val="none"/>
        </w:rPr>
        <w:t>AEJ: Applied Economics</w:t>
      </w:r>
      <w:r w:rsidRPr="004000BC">
        <w:rPr>
          <w:rFonts w:ascii="Times New Roman" w:eastAsia="Times New Roman" w:hAnsi="Times New Roman" w:cs="Times New Roman"/>
          <w:b/>
          <w:bCs/>
          <w:kern w:val="0"/>
          <w:lang w:eastAsia="en-GB"/>
          <w14:ligatures w14:val="none"/>
        </w:rPr>
        <w:t xml:space="preserve"> 6(2): 1–31)</w:t>
      </w:r>
      <w:r w:rsidRPr="004000BC">
        <w:rPr>
          <w:rFonts w:ascii="Times New Roman" w:eastAsia="Times New Roman" w:hAnsi="Times New Roman" w:cs="Times New Roman"/>
          <w:kern w:val="0"/>
          <w:lang w:eastAsia="en-GB"/>
          <w14:ligatures w14:val="none"/>
        </w:rPr>
        <w:t xml:space="preserve">, which found that </w:t>
      </w:r>
      <w:r w:rsidRPr="004000BC">
        <w:rPr>
          <w:rFonts w:ascii="Times New Roman" w:eastAsia="Times New Roman" w:hAnsi="Times New Roman" w:cs="Times New Roman"/>
          <w:b/>
          <w:bCs/>
          <w:kern w:val="0"/>
          <w:lang w:eastAsia="en-GB"/>
          <w14:ligatures w14:val="none"/>
        </w:rPr>
        <w:t>rule-of-thumb training</w:t>
      </w:r>
      <w:r w:rsidRPr="004000BC">
        <w:rPr>
          <w:rFonts w:ascii="Times New Roman" w:eastAsia="Times New Roman" w:hAnsi="Times New Roman" w:cs="Times New Roman"/>
          <w:kern w:val="0"/>
          <w:lang w:eastAsia="en-GB"/>
          <w14:ligatures w14:val="none"/>
        </w:rPr>
        <w:t xml:space="preserve"> ("keep your business cash physically separate from your personal cash") significantly outperformed comprehensive accounting training for micro-entrepreneurs, especially for those with lower skills. This directly justifies Duolingo-style bite-sized heuristics over curriculum.</w:t>
      </w:r>
    </w:p>
    <w:p w14:paraId="3C56EBE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 xml:space="preserve">Carpena, Cole, Shapiro &amp; Zia (2019, </w:t>
      </w:r>
      <w:r w:rsidRPr="004000BC">
        <w:rPr>
          <w:rFonts w:ascii="Times New Roman" w:eastAsia="Times New Roman" w:hAnsi="Times New Roman" w:cs="Times New Roman"/>
          <w:b/>
          <w:bCs/>
          <w:i/>
          <w:iCs/>
          <w:kern w:val="0"/>
          <w:lang w:eastAsia="en-GB"/>
          <w14:ligatures w14:val="none"/>
        </w:rPr>
        <w:t>Management Science</w:t>
      </w:r>
      <w:r w:rsidRPr="004000BC">
        <w:rPr>
          <w:rFonts w:ascii="Times New Roman" w:eastAsia="Times New Roman" w:hAnsi="Times New Roman" w:cs="Times New Roman"/>
          <w:b/>
          <w:bCs/>
          <w:kern w:val="0"/>
          <w:lang w:eastAsia="en-GB"/>
          <w14:ligatures w14:val="none"/>
        </w:rPr>
        <w:t xml:space="preserve"> 65(1): 346–369)</w:t>
      </w:r>
      <w:r w:rsidRPr="004000BC">
        <w:rPr>
          <w:rFonts w:ascii="Times New Roman" w:eastAsia="Times New Roman" w:hAnsi="Times New Roman" w:cs="Times New Roman"/>
          <w:kern w:val="0"/>
          <w:lang w:eastAsia="en-GB"/>
          <w14:ligatures w14:val="none"/>
        </w:rPr>
        <w:t xml:space="preserve"> showed in India that </w:t>
      </w:r>
      <w:r w:rsidRPr="004000BC">
        <w:rPr>
          <w:rFonts w:ascii="Times New Roman" w:eastAsia="Times New Roman" w:hAnsi="Times New Roman" w:cs="Times New Roman"/>
          <w:b/>
          <w:bCs/>
          <w:kern w:val="0"/>
          <w:lang w:eastAsia="en-GB"/>
          <w14:ligatures w14:val="none"/>
        </w:rPr>
        <w:t>education plus goal-setting</w:t>
      </w:r>
      <w:r w:rsidRPr="004000BC">
        <w:rPr>
          <w:rFonts w:ascii="Times New Roman" w:eastAsia="Times New Roman" w:hAnsi="Times New Roman" w:cs="Times New Roman"/>
          <w:kern w:val="0"/>
          <w:lang w:eastAsia="en-GB"/>
          <w14:ligatures w14:val="none"/>
        </w:rPr>
        <w:t xml:space="preserve"> encouraged simple follow-up actions and </w:t>
      </w:r>
      <w:r w:rsidRPr="004000BC">
        <w:rPr>
          <w:rFonts w:ascii="Times New Roman" w:eastAsia="Times New Roman" w:hAnsi="Times New Roman" w:cs="Times New Roman"/>
          <w:b/>
          <w:bCs/>
          <w:kern w:val="0"/>
          <w:lang w:eastAsia="en-GB"/>
          <w14:ligatures w14:val="none"/>
        </w:rPr>
        <w:t>education plus personalised counselling</w:t>
      </w:r>
      <w:r w:rsidRPr="004000BC">
        <w:rPr>
          <w:rFonts w:ascii="Times New Roman" w:eastAsia="Times New Roman" w:hAnsi="Times New Roman" w:cs="Times New Roman"/>
          <w:kern w:val="0"/>
          <w:lang w:eastAsia="en-GB"/>
          <w14:ligatures w14:val="none"/>
        </w:rPr>
        <w:t xml:space="preserve"> enabled poorer participants to take costlier actions like opening a formal bank account. Knowledge alone moved nothing.</w:t>
      </w:r>
    </w:p>
    <w:p w14:paraId="6DA48FF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5.3 Gamification's own evidence base</w:t>
      </w:r>
    </w:p>
    <w:p w14:paraId="5D333C5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Sailer &amp; Homner (2020, </w:t>
      </w:r>
      <w:r w:rsidRPr="004000BC">
        <w:rPr>
          <w:rFonts w:ascii="Times New Roman" w:eastAsia="Times New Roman" w:hAnsi="Times New Roman" w:cs="Times New Roman"/>
          <w:i/>
          <w:iCs/>
          <w:kern w:val="0"/>
          <w:lang w:eastAsia="en-GB"/>
          <w14:ligatures w14:val="none"/>
        </w:rPr>
        <w:t>Educational Psychology Review</w:t>
      </w:r>
      <w:r w:rsidRPr="004000BC">
        <w:rPr>
          <w:rFonts w:ascii="Times New Roman" w:eastAsia="Times New Roman" w:hAnsi="Times New Roman" w:cs="Times New Roman"/>
          <w:kern w:val="0"/>
          <w:lang w:eastAsia="en-GB"/>
          <w14:ligatures w14:val="none"/>
        </w:rPr>
        <w:t xml:space="preserve"> 32(1): 77–112, DOI 10.1007/s10648-019-09498-w) meta-analysed gamification of learning and found small-to-moderate effects: </w:t>
      </w:r>
      <w:r w:rsidRPr="004000BC">
        <w:rPr>
          <w:rFonts w:ascii="Times New Roman" w:eastAsia="Times New Roman" w:hAnsi="Times New Roman" w:cs="Times New Roman"/>
          <w:b/>
          <w:bCs/>
          <w:kern w:val="0"/>
          <w:lang w:eastAsia="en-GB"/>
          <w14:ligatures w14:val="none"/>
        </w:rPr>
        <w:t>cognitive g = 0.49 (k=19), motivational g = 0.36 (k=16), behavioural g = 0.25 (k=9)</w:t>
      </w:r>
      <w:r w:rsidRPr="004000BC">
        <w:rPr>
          <w:rFonts w:ascii="Times New Roman" w:eastAsia="Times New Roman" w:hAnsi="Times New Roman" w:cs="Times New Roman"/>
          <w:kern w:val="0"/>
          <w:lang w:eastAsia="en-GB"/>
          <w14:ligatures w14:val="none"/>
        </w:rPr>
        <w:t>. Behavioural effects rest on the thinnest evidence base (951 subjects across 9 studies) and were "less stable" in high-rigour subsamples.</w:t>
      </w:r>
    </w:p>
    <w:p w14:paraId="119F829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strongest single-study evidence specifically on </w:t>
      </w:r>
      <w:r w:rsidRPr="004000BC">
        <w:rPr>
          <w:rFonts w:ascii="Times New Roman" w:eastAsia="Times New Roman" w:hAnsi="Times New Roman" w:cs="Times New Roman"/>
          <w:b/>
          <w:bCs/>
          <w:kern w:val="0"/>
          <w:lang w:eastAsia="en-GB"/>
          <w14:ligatures w14:val="none"/>
        </w:rPr>
        <w:t>gamified financial education</w:t>
      </w:r>
      <w:r w:rsidRPr="004000BC">
        <w:rPr>
          <w:rFonts w:ascii="Times New Roman" w:eastAsia="Times New Roman" w:hAnsi="Times New Roman" w:cs="Times New Roman"/>
          <w:kern w:val="0"/>
          <w:lang w:eastAsia="en-GB"/>
          <w14:ligatures w14:val="none"/>
        </w:rPr>
        <w:t xml:space="preserve"> is Iterbeke &amp; De Witte (2024, </w:t>
      </w:r>
      <w:r w:rsidRPr="004000BC">
        <w:rPr>
          <w:rFonts w:ascii="Times New Roman" w:eastAsia="Times New Roman" w:hAnsi="Times New Roman" w:cs="Times New Roman"/>
          <w:i/>
          <w:iCs/>
          <w:kern w:val="0"/>
          <w:lang w:eastAsia="en-GB"/>
          <w14:ligatures w14:val="none"/>
        </w:rPr>
        <w:t>Journal of Comparative Economics</w:t>
      </w:r>
      <w:r w:rsidRPr="004000BC">
        <w:rPr>
          <w:rFonts w:ascii="Times New Roman" w:eastAsia="Times New Roman" w:hAnsi="Times New Roman" w:cs="Times New Roman"/>
          <w:kern w:val="0"/>
          <w:lang w:eastAsia="en-GB"/>
          <w14:ligatures w14:val="none"/>
        </w:rPr>
        <w:t xml:space="preserve"> 52(4): 825–847, DOI 10.1016/j.jce.2024.06.001), a multi-country RCT with 2,220 students: the game-based course raised financial literacy by </w:t>
      </w:r>
      <w:r w:rsidRPr="004000BC">
        <w:rPr>
          <w:rFonts w:ascii="Times New Roman" w:eastAsia="Times New Roman" w:hAnsi="Times New Roman" w:cs="Times New Roman"/>
          <w:b/>
          <w:bCs/>
          <w:kern w:val="0"/>
          <w:lang w:eastAsia="en-GB"/>
          <w14:ligatures w14:val="none"/>
        </w:rPr>
        <w:t>0.313 SD</w:t>
      </w:r>
      <w:r w:rsidRPr="004000BC">
        <w:rPr>
          <w:rFonts w:ascii="Times New Roman" w:eastAsia="Times New Roman" w:hAnsi="Times New Roman" w:cs="Times New Roman"/>
          <w:kern w:val="0"/>
          <w:lang w:eastAsia="en-GB"/>
          <w14:ligatures w14:val="none"/>
        </w:rPr>
        <w:t xml:space="preserve"> — meaningfully above the meta-analytic average. But the outcome was literacy, not behaviour, and effect heterogeneity across countries was large.</w:t>
      </w:r>
    </w:p>
    <w:p w14:paraId="2F61CDA6"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lastRenderedPageBreak/>
        <w:t>5.4 The failure modes</w:t>
      </w:r>
    </w:p>
    <w:p w14:paraId="561B174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Hanus &amp; Fox (2015, </w:t>
      </w:r>
      <w:r w:rsidRPr="004000BC">
        <w:rPr>
          <w:rFonts w:ascii="Times New Roman" w:eastAsia="Times New Roman" w:hAnsi="Times New Roman" w:cs="Times New Roman"/>
          <w:i/>
          <w:iCs/>
          <w:kern w:val="0"/>
          <w:lang w:eastAsia="en-GB"/>
          <w14:ligatures w14:val="none"/>
        </w:rPr>
        <w:t>Computers &amp; Education</w:t>
      </w:r>
      <w:r w:rsidRPr="004000BC">
        <w:rPr>
          <w:rFonts w:ascii="Times New Roman" w:eastAsia="Times New Roman" w:hAnsi="Times New Roman" w:cs="Times New Roman"/>
          <w:kern w:val="0"/>
          <w:lang w:eastAsia="en-GB"/>
          <w14:ligatures w14:val="none"/>
        </w:rPr>
        <w:t xml:space="preserve"> 80: 152–161, DOI 10.1016/j.compedu.2014.08.019) ran a 16-week longitudinal study and found </w:t>
      </w:r>
      <w:r w:rsidRPr="004000BC">
        <w:rPr>
          <w:rFonts w:ascii="Times New Roman" w:eastAsia="Times New Roman" w:hAnsi="Times New Roman" w:cs="Times New Roman"/>
          <w:i/>
          <w:iCs/>
          <w:kern w:val="0"/>
          <w:lang w:eastAsia="en-GB"/>
          <w14:ligatures w14:val="none"/>
        </w:rPr>
        <w:t>"students in the gamified course showed less motivation, satisfaction, and empowerment over time… and lower final exam scores than the non-gamified class."</w:t>
      </w:r>
      <w:r w:rsidRPr="004000BC">
        <w:rPr>
          <w:rFonts w:ascii="Times New Roman" w:eastAsia="Times New Roman" w:hAnsi="Times New Roman" w:cs="Times New Roman"/>
          <w:kern w:val="0"/>
          <w:lang w:eastAsia="en-GB"/>
          <w14:ligatures w14:val="none"/>
        </w:rPr>
        <w:t xml:space="preserve"> Deci, Koestner &amp; Ryan's classic meta-analysis (1999, </w:t>
      </w:r>
      <w:r w:rsidRPr="004000BC">
        <w:rPr>
          <w:rFonts w:ascii="Times New Roman" w:eastAsia="Times New Roman" w:hAnsi="Times New Roman" w:cs="Times New Roman"/>
          <w:i/>
          <w:iCs/>
          <w:kern w:val="0"/>
          <w:lang w:eastAsia="en-GB"/>
          <w14:ligatures w14:val="none"/>
        </w:rPr>
        <w:t>Psychological Bulletin</w:t>
      </w:r>
      <w:r w:rsidRPr="004000BC">
        <w:rPr>
          <w:rFonts w:ascii="Times New Roman" w:eastAsia="Times New Roman" w:hAnsi="Times New Roman" w:cs="Times New Roman"/>
          <w:kern w:val="0"/>
          <w:lang w:eastAsia="en-GB"/>
          <w14:ligatures w14:val="none"/>
        </w:rPr>
        <w:t xml:space="preserve"> 125(6): 627–668) of 128 studies confirms that </w:t>
      </w:r>
      <w:r w:rsidRPr="004000BC">
        <w:rPr>
          <w:rFonts w:ascii="Times New Roman" w:eastAsia="Times New Roman" w:hAnsi="Times New Roman" w:cs="Times New Roman"/>
          <w:b/>
          <w:bCs/>
          <w:kern w:val="0"/>
          <w:lang w:eastAsia="en-GB"/>
          <w14:ligatures w14:val="none"/>
        </w:rPr>
        <w:t>tangible, expected, task-contingent rewards undermine intrinsic motivation</w:t>
      </w:r>
      <w:r w:rsidRPr="004000BC">
        <w:rPr>
          <w:rFonts w:ascii="Times New Roman" w:eastAsia="Times New Roman" w:hAnsi="Times New Roman" w:cs="Times New Roman"/>
          <w:kern w:val="0"/>
          <w:lang w:eastAsia="en-GB"/>
          <w14:ligatures w14:val="none"/>
        </w:rPr>
        <w:t xml:space="preserve"> — the precise mechanism risked by XP, badges and streaks. If your user has any intrinsic interest in their financial future, the gamification can crowd it out and they will quit when XP stops feeling new.</w:t>
      </w:r>
    </w:p>
    <w:p w14:paraId="6858943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Duolingo's own track record is more nuanced than the marketing suggests. The Vesselinov &amp; Grego (2012) effectiveness study was Duolingo-commissioned with a self-selected sample and WebCAPE outcomes — Krashen (2014, sdkrashen.com/content/articles/krashen-does-duolingo-trump.pdf) and Loewen et al. (2020, </w:t>
      </w:r>
      <w:r w:rsidRPr="004000BC">
        <w:rPr>
          <w:rFonts w:ascii="Times New Roman" w:eastAsia="Times New Roman" w:hAnsi="Times New Roman" w:cs="Times New Roman"/>
          <w:i/>
          <w:iCs/>
          <w:kern w:val="0"/>
          <w:lang w:eastAsia="en-GB"/>
          <w14:ligatures w14:val="none"/>
        </w:rPr>
        <w:t>Foreign Language Annals</w:t>
      </w:r>
      <w:r w:rsidRPr="004000BC">
        <w:rPr>
          <w:rFonts w:ascii="Times New Roman" w:eastAsia="Times New Roman" w:hAnsi="Times New Roman" w:cs="Times New Roman"/>
          <w:kern w:val="0"/>
          <w:lang w:eastAsia="en-GB"/>
          <w14:ligatures w14:val="none"/>
        </w:rPr>
        <w:t xml:space="preserve">, DOI 10.1111/flan.12600) document material persistence problems. Duolingo S-1 disclosed ~5% MAU-to-paid conversion at IPO, climbing to ~8–9% by 2024 — and the company has publicly stated it now needs to invest in performance marketing because virality alone has stalled (Class Central, "Duolingo Q1 2026"). </w:t>
      </w:r>
      <w:r w:rsidRPr="004000BC">
        <w:rPr>
          <w:rFonts w:ascii="Times New Roman" w:eastAsia="Times New Roman" w:hAnsi="Times New Roman" w:cs="Times New Roman"/>
          <w:b/>
          <w:bCs/>
          <w:kern w:val="0"/>
          <w:lang w:eastAsia="en-GB"/>
          <w14:ligatures w14:val="none"/>
        </w:rPr>
        <w:t>A SA financial app cloning the Duolingo model without Duolingo's brand, mascot, distribution and capital base should expect lower conversion still.</w:t>
      </w:r>
    </w:p>
    <w:p w14:paraId="293B269A"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5.5 The honest synthesis</w:t>
      </w:r>
    </w:p>
    <w:p w14:paraId="5D4497E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peer-reviewed evidence will not let the founder claim that gamified financial education transforms behaviour. The best meta-analyses say literacy effects on behaviour are small (0.05–0.10 SD bias-corrected) and decay; gamification can backfire via overjustification; the field-tested winners are rules-of-thumb + just-in-time delivery + commitment devices + personalised next-steps. </w:t>
      </w:r>
      <w:r w:rsidRPr="004000BC">
        <w:rPr>
          <w:rFonts w:ascii="Times New Roman" w:eastAsia="Times New Roman" w:hAnsi="Times New Roman" w:cs="Times New Roman"/>
          <w:b/>
          <w:bCs/>
          <w:kern w:val="0"/>
          <w:lang w:eastAsia="en-GB"/>
          <w14:ligatures w14:val="none"/>
        </w:rPr>
        <w:t xml:space="preserve">A product that pitches itself as "Duolingo for finance, but more XP" without these features is competing simultaneously against the 0.1% variance finding </w:t>
      </w:r>
      <w:r w:rsidRPr="004000BC">
        <w:rPr>
          <w:rFonts w:ascii="Times New Roman" w:eastAsia="Times New Roman" w:hAnsi="Times New Roman" w:cs="Times New Roman"/>
          <w:b/>
          <w:bCs/>
          <w:i/>
          <w:iCs/>
          <w:kern w:val="0"/>
          <w:lang w:eastAsia="en-GB"/>
          <w14:ligatures w14:val="none"/>
        </w:rPr>
        <w:t>and</w:t>
      </w:r>
      <w:r w:rsidRPr="004000BC">
        <w:rPr>
          <w:rFonts w:ascii="Times New Roman" w:eastAsia="Times New Roman" w:hAnsi="Times New Roman" w:cs="Times New Roman"/>
          <w:b/>
          <w:bCs/>
          <w:kern w:val="0"/>
          <w:lang w:eastAsia="en-GB"/>
          <w14:ligatures w14:val="none"/>
        </w:rPr>
        <w:t xml:space="preserve"> the overjustification literature. It will produce vanity DAU and streak metrics with minimal real-world behaviour change — which is exactly the pattern Fernandes et al. documented.</w:t>
      </w:r>
    </w:p>
    <w:p w14:paraId="2B83FDA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defensible build is: simple heuristics, fired at teachable moments (two-pot decision, salary day, debt-review threshold, first child, retrenchment), bundled with goal-setting and commitment devices, with XP/streaks as </w:t>
      </w:r>
      <w:r w:rsidRPr="004000BC">
        <w:rPr>
          <w:rFonts w:ascii="Times New Roman" w:eastAsia="Times New Roman" w:hAnsi="Times New Roman" w:cs="Times New Roman"/>
          <w:i/>
          <w:iCs/>
          <w:kern w:val="0"/>
          <w:lang w:eastAsia="en-GB"/>
          <w14:ligatures w14:val="none"/>
        </w:rPr>
        <w:t>informational</w:t>
      </w:r>
      <w:r w:rsidRPr="004000BC">
        <w:rPr>
          <w:rFonts w:ascii="Times New Roman" w:eastAsia="Times New Roman" w:hAnsi="Times New Roman" w:cs="Times New Roman"/>
          <w:kern w:val="0"/>
          <w:lang w:eastAsia="en-GB"/>
          <w14:ligatures w14:val="none"/>
        </w:rPr>
        <w:t xml:space="preserve"> scaffolding (mastery feedback) not </w:t>
      </w:r>
      <w:r w:rsidRPr="004000BC">
        <w:rPr>
          <w:rFonts w:ascii="Times New Roman" w:eastAsia="Times New Roman" w:hAnsi="Times New Roman" w:cs="Times New Roman"/>
          <w:i/>
          <w:iCs/>
          <w:kern w:val="0"/>
          <w:lang w:eastAsia="en-GB"/>
          <w14:ligatures w14:val="none"/>
        </w:rPr>
        <w:t>controlling</w:t>
      </w:r>
      <w:r w:rsidRPr="004000BC">
        <w:rPr>
          <w:rFonts w:ascii="Times New Roman" w:eastAsia="Times New Roman" w:hAnsi="Times New Roman" w:cs="Times New Roman"/>
          <w:kern w:val="0"/>
          <w:lang w:eastAsia="en-GB"/>
          <w14:ligatures w14:val="none"/>
        </w:rPr>
        <w:t xml:space="preserve"> rewards (mandatory tokens for predetermined behaviour). Forgiveness mechanisms must exist (Duolingo found that streak freezes increase DAU — strict streaks reduce it).</w:t>
      </w:r>
    </w:p>
    <w:p w14:paraId="01A6411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38C558BF">
          <v:rect id="_x0000_i1030" style="width:0;height:1.5pt" o:hralign="center" o:hrstd="t" o:hr="t" fillcolor="#a0a0a0" stroked="f"/>
        </w:pict>
      </w:r>
    </w:p>
    <w:p w14:paraId="621ADD66"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6. Market sizing — TAM is big, SOM is small, monetisation is the choke point</w:t>
      </w:r>
    </w:p>
    <w:p w14:paraId="3BAC830C"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6.1 The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001"/>
        <w:gridCol w:w="6610"/>
      </w:tblGrid>
      <w:tr w:rsidR="004000BC" w:rsidRPr="004000BC" w14:paraId="17616BB3" w14:textId="77777777">
        <w:trPr>
          <w:tblHeader/>
          <w:tblCellSpacing w:w="15" w:type="dxa"/>
        </w:trPr>
        <w:tc>
          <w:tcPr>
            <w:tcW w:w="0" w:type="auto"/>
            <w:vAlign w:val="center"/>
            <w:hideMark/>
          </w:tcPr>
          <w:p w14:paraId="642C455D"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lastRenderedPageBreak/>
              <w:t>Layer</w:t>
            </w:r>
          </w:p>
        </w:tc>
        <w:tc>
          <w:tcPr>
            <w:tcW w:w="0" w:type="auto"/>
            <w:vAlign w:val="center"/>
            <w:hideMark/>
          </w:tcPr>
          <w:p w14:paraId="116DF11B"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Quantity</w:t>
            </w:r>
          </w:p>
        </w:tc>
        <w:tc>
          <w:tcPr>
            <w:tcW w:w="0" w:type="auto"/>
            <w:vAlign w:val="center"/>
            <w:hideMark/>
          </w:tcPr>
          <w:p w14:paraId="41C75700"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Assumption / source</w:t>
            </w:r>
          </w:p>
        </w:tc>
      </w:tr>
      <w:tr w:rsidR="004000BC" w:rsidRPr="004000BC" w14:paraId="72A09034" w14:textId="77777777">
        <w:trPr>
          <w:tblCellSpacing w:w="15" w:type="dxa"/>
        </w:trPr>
        <w:tc>
          <w:tcPr>
            <w:tcW w:w="0" w:type="auto"/>
            <w:vAlign w:val="center"/>
            <w:hideMark/>
          </w:tcPr>
          <w:p w14:paraId="0F6D7D8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SA population 2024</w:t>
            </w:r>
          </w:p>
        </w:tc>
        <w:tc>
          <w:tcPr>
            <w:tcW w:w="0" w:type="auto"/>
            <w:vAlign w:val="center"/>
            <w:hideMark/>
          </w:tcPr>
          <w:p w14:paraId="76768E0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63.02M</w:t>
            </w:r>
          </w:p>
        </w:tc>
        <w:tc>
          <w:tcPr>
            <w:tcW w:w="0" w:type="auto"/>
            <w:vAlign w:val="center"/>
            <w:hideMark/>
          </w:tcPr>
          <w:p w14:paraId="3D33431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w:t>
            </w:r>
            <w:r w:rsidRPr="004000BC">
              <w:rPr>
                <w:rFonts w:ascii="Times New Roman" w:eastAsia="Times New Roman" w:hAnsi="Times New Roman" w:cs="Times New Roman"/>
                <w:i/>
                <w:iCs/>
                <w:kern w:val="0"/>
                <w:lang w:eastAsia="en-GB"/>
                <w14:ligatures w14:val="none"/>
              </w:rPr>
              <w:t>MYPE 2024</w:t>
            </w:r>
            <w:r w:rsidRPr="004000BC">
              <w:rPr>
                <w:rFonts w:ascii="Times New Roman" w:eastAsia="Times New Roman" w:hAnsi="Times New Roman" w:cs="Times New Roman"/>
                <w:kern w:val="0"/>
                <w:lang w:eastAsia="en-GB"/>
                <w14:ligatures w14:val="none"/>
              </w:rPr>
              <w:t xml:space="preserve"> P0302 (statssa.gov.za/publications/P0302/P03022024.pdf)</w:t>
            </w:r>
          </w:p>
        </w:tc>
      </w:tr>
      <w:tr w:rsidR="004000BC" w:rsidRPr="004000BC" w14:paraId="6864244E" w14:textId="77777777">
        <w:trPr>
          <w:tblCellSpacing w:w="15" w:type="dxa"/>
        </w:trPr>
        <w:tc>
          <w:tcPr>
            <w:tcW w:w="0" w:type="auto"/>
            <w:vAlign w:val="center"/>
            <w:hideMark/>
          </w:tcPr>
          <w:p w14:paraId="14C9217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18–35 cohort</w:t>
            </w:r>
          </w:p>
        </w:tc>
        <w:tc>
          <w:tcPr>
            <w:tcW w:w="0" w:type="auto"/>
            <w:vAlign w:val="center"/>
            <w:hideMark/>
          </w:tcPr>
          <w:p w14:paraId="03158E6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~18.5M</w:t>
            </w:r>
          </w:p>
        </w:tc>
        <w:tc>
          <w:tcPr>
            <w:tcW w:w="0" w:type="auto"/>
            <w:vAlign w:val="center"/>
            <w:hideMark/>
          </w:tcPr>
          <w:p w14:paraId="6D04B36C"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Stats SA MYPE 2024 Presentation, "Youth 15–34 = 20.8M"</w:t>
            </w:r>
          </w:p>
        </w:tc>
      </w:tr>
      <w:tr w:rsidR="004000BC" w:rsidRPr="004000BC" w14:paraId="62846716" w14:textId="77777777">
        <w:trPr>
          <w:tblCellSpacing w:w="15" w:type="dxa"/>
        </w:trPr>
        <w:tc>
          <w:tcPr>
            <w:tcW w:w="0" w:type="auto"/>
            <w:vAlign w:val="center"/>
            <w:hideMark/>
          </w:tcPr>
          <w:p w14:paraId="64D1AEA8"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Smartphone access (~88% in youth)</w:t>
            </w:r>
          </w:p>
        </w:tc>
        <w:tc>
          <w:tcPr>
            <w:tcW w:w="0" w:type="auto"/>
            <w:vAlign w:val="center"/>
            <w:hideMark/>
          </w:tcPr>
          <w:p w14:paraId="5B26599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16.3M</w:t>
            </w:r>
          </w:p>
        </w:tc>
        <w:tc>
          <w:tcPr>
            <w:tcW w:w="0" w:type="auto"/>
            <w:vAlign w:val="center"/>
            <w:hideMark/>
          </w:tcPr>
          <w:p w14:paraId="6946F726"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DataReportal </w:t>
            </w:r>
            <w:r w:rsidRPr="004000BC">
              <w:rPr>
                <w:rFonts w:ascii="Times New Roman" w:eastAsia="Times New Roman" w:hAnsi="Times New Roman" w:cs="Times New Roman"/>
                <w:i/>
                <w:iCs/>
                <w:kern w:val="0"/>
                <w:lang w:eastAsia="en-GB"/>
                <w14:ligatures w14:val="none"/>
              </w:rPr>
              <w:t>Digital 2025 South Africa</w:t>
            </w:r>
            <w:r w:rsidRPr="004000BC">
              <w:rPr>
                <w:rFonts w:ascii="Times New Roman" w:eastAsia="Times New Roman" w:hAnsi="Times New Roman" w:cs="Times New Roman"/>
                <w:kern w:val="0"/>
                <w:lang w:eastAsia="en-GB"/>
                <w14:ligatures w14:val="none"/>
              </w:rPr>
              <w:t xml:space="preserve"> — 78.9% national internet penetration with upward youth skew</w:t>
            </w:r>
          </w:p>
        </w:tc>
      </w:tr>
      <w:tr w:rsidR="004000BC" w:rsidRPr="004000BC" w14:paraId="1BEAA52F" w14:textId="77777777">
        <w:trPr>
          <w:tblCellSpacing w:w="15" w:type="dxa"/>
        </w:trPr>
        <w:tc>
          <w:tcPr>
            <w:tcW w:w="0" w:type="auto"/>
            <w:vAlign w:val="center"/>
            <w:hideMark/>
          </w:tcPr>
          <w:p w14:paraId="0C73A19E"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Banked or aspirational (~92%)</w:t>
            </w:r>
          </w:p>
        </w:tc>
        <w:tc>
          <w:tcPr>
            <w:tcW w:w="0" w:type="auto"/>
            <w:vAlign w:val="center"/>
            <w:hideMark/>
          </w:tcPr>
          <w:p w14:paraId="4B0BF01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15.0M</w:t>
            </w:r>
          </w:p>
        </w:tc>
        <w:tc>
          <w:tcPr>
            <w:tcW w:w="0" w:type="auto"/>
            <w:vAlign w:val="center"/>
            <w:hideMark/>
          </w:tcPr>
          <w:p w14:paraId="24062C9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FinScope SA 2023 — 88% formally included (finmark.org.za/Publications/FinScope_SA_Consumer_2023.pdf)</w:t>
            </w:r>
          </w:p>
        </w:tc>
      </w:tr>
      <w:tr w:rsidR="004000BC" w:rsidRPr="004000BC" w14:paraId="3E5418A7" w14:textId="77777777">
        <w:trPr>
          <w:tblCellSpacing w:w="15" w:type="dxa"/>
        </w:trPr>
        <w:tc>
          <w:tcPr>
            <w:tcW w:w="0" w:type="auto"/>
            <w:vAlign w:val="center"/>
            <w:hideMark/>
          </w:tcPr>
          <w:p w14:paraId="13CFB24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Disposable income or B2B-addressable (~60%)</w:t>
            </w:r>
          </w:p>
        </w:tc>
        <w:tc>
          <w:tcPr>
            <w:tcW w:w="0" w:type="auto"/>
            <w:vAlign w:val="center"/>
            <w:hideMark/>
          </w:tcPr>
          <w:p w14:paraId="21F6013E"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9.0M = SAM</w:t>
            </w:r>
          </w:p>
        </w:tc>
        <w:tc>
          <w:tcPr>
            <w:tcW w:w="0" w:type="auto"/>
            <w:vAlign w:val="center"/>
            <w:hideMark/>
          </w:tcPr>
          <w:p w14:paraId="759A5FA4"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Stats SA QLFS Q1:2025 — employed + students with bursaries + caregivers, minus deep-poverty segment</w:t>
            </w:r>
          </w:p>
        </w:tc>
      </w:tr>
    </w:tbl>
    <w:p w14:paraId="3B42A518"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Value SAM</w:t>
      </w:r>
      <w:r w:rsidRPr="004000BC">
        <w:rPr>
          <w:rFonts w:ascii="Times New Roman" w:eastAsia="Times New Roman" w:hAnsi="Times New Roman" w:cs="Times New Roman"/>
          <w:kern w:val="0"/>
          <w:lang w:eastAsia="en-GB"/>
          <w14:ligatures w14:val="none"/>
        </w:rPr>
        <w:t xml:space="preserve"> at a blended R25/month ARPU = </w:t>
      </w:r>
      <w:r w:rsidRPr="004000BC">
        <w:rPr>
          <w:rFonts w:ascii="Times New Roman" w:eastAsia="Times New Roman" w:hAnsi="Times New Roman" w:cs="Times New Roman"/>
          <w:b/>
          <w:bCs/>
          <w:kern w:val="0"/>
          <w:lang w:eastAsia="en-GB"/>
          <w14:ligatures w14:val="none"/>
        </w:rPr>
        <w:t>R2.7 billion annually (~$145M)</w:t>
      </w:r>
      <w:r w:rsidRPr="004000BC">
        <w:rPr>
          <w:rFonts w:ascii="Times New Roman" w:eastAsia="Times New Roman" w:hAnsi="Times New Roman" w:cs="Times New Roman"/>
          <w:kern w:val="0"/>
          <w:lang w:eastAsia="en-GB"/>
          <w14:ligatures w14:val="none"/>
        </w:rPr>
        <w:t>. Theoretical, not a forecast.</w:t>
      </w:r>
    </w:p>
    <w:p w14:paraId="06C46F2D"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6.2 Three-year SOM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1156"/>
        <w:gridCol w:w="1858"/>
        <w:gridCol w:w="1768"/>
        <w:gridCol w:w="1345"/>
      </w:tblGrid>
      <w:tr w:rsidR="004000BC" w:rsidRPr="004000BC" w14:paraId="0706B30C" w14:textId="77777777">
        <w:trPr>
          <w:tblHeader/>
          <w:tblCellSpacing w:w="15" w:type="dxa"/>
        </w:trPr>
        <w:tc>
          <w:tcPr>
            <w:tcW w:w="0" w:type="auto"/>
            <w:vAlign w:val="center"/>
            <w:hideMark/>
          </w:tcPr>
          <w:p w14:paraId="38E9C294"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Scenario</w:t>
            </w:r>
          </w:p>
        </w:tc>
        <w:tc>
          <w:tcPr>
            <w:tcW w:w="0" w:type="auto"/>
            <w:vAlign w:val="center"/>
            <w:hideMark/>
          </w:tcPr>
          <w:p w14:paraId="7ADA6833"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Year-3 MAU</w:t>
            </w:r>
          </w:p>
        </w:tc>
        <w:tc>
          <w:tcPr>
            <w:tcW w:w="0" w:type="auto"/>
            <w:vAlign w:val="center"/>
            <w:hideMark/>
          </w:tcPr>
          <w:p w14:paraId="27DC74D3"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Year-3 paying</w:t>
            </w:r>
          </w:p>
        </w:tc>
        <w:tc>
          <w:tcPr>
            <w:tcW w:w="0" w:type="auto"/>
            <w:vAlign w:val="center"/>
            <w:hideMark/>
          </w:tcPr>
          <w:p w14:paraId="4F7A85B6"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Implied SAM penetration</w:t>
            </w:r>
          </w:p>
        </w:tc>
        <w:tc>
          <w:tcPr>
            <w:tcW w:w="0" w:type="auto"/>
            <w:vAlign w:val="center"/>
            <w:hideMark/>
          </w:tcPr>
          <w:p w14:paraId="2A6886C3"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Year-3 ARR</w:t>
            </w:r>
          </w:p>
        </w:tc>
      </w:tr>
      <w:tr w:rsidR="004000BC" w:rsidRPr="004000BC" w14:paraId="19AE9D21" w14:textId="77777777">
        <w:trPr>
          <w:tblCellSpacing w:w="15" w:type="dxa"/>
        </w:trPr>
        <w:tc>
          <w:tcPr>
            <w:tcW w:w="0" w:type="auto"/>
            <w:vAlign w:val="center"/>
            <w:hideMark/>
          </w:tcPr>
          <w:p w14:paraId="270F7C6C"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Bear (B2C only)</w:t>
            </w:r>
          </w:p>
        </w:tc>
        <w:tc>
          <w:tcPr>
            <w:tcW w:w="0" w:type="auto"/>
            <w:vAlign w:val="center"/>
            <w:hideMark/>
          </w:tcPr>
          <w:p w14:paraId="1825036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250,000</w:t>
            </w:r>
          </w:p>
        </w:tc>
        <w:tc>
          <w:tcPr>
            <w:tcW w:w="0" w:type="auto"/>
            <w:vAlign w:val="center"/>
            <w:hideMark/>
          </w:tcPr>
          <w:p w14:paraId="5EFFEA18"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25,000 paid</w:t>
            </w:r>
          </w:p>
        </w:tc>
        <w:tc>
          <w:tcPr>
            <w:tcW w:w="0" w:type="auto"/>
            <w:vAlign w:val="center"/>
            <w:hideMark/>
          </w:tcPr>
          <w:p w14:paraId="1AC48199"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0.28%</w:t>
            </w:r>
          </w:p>
        </w:tc>
        <w:tc>
          <w:tcPr>
            <w:tcW w:w="0" w:type="auto"/>
            <w:vAlign w:val="center"/>
            <w:hideMark/>
          </w:tcPr>
          <w:p w14:paraId="7FAC8D1D"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~R15M</w:t>
            </w:r>
          </w:p>
        </w:tc>
      </w:tr>
      <w:tr w:rsidR="004000BC" w:rsidRPr="004000BC" w14:paraId="34322E16" w14:textId="77777777">
        <w:trPr>
          <w:tblCellSpacing w:w="15" w:type="dxa"/>
        </w:trPr>
        <w:tc>
          <w:tcPr>
            <w:tcW w:w="0" w:type="auto"/>
            <w:vAlign w:val="center"/>
            <w:hideMark/>
          </w:tcPr>
          <w:p w14:paraId="5ACEBDC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Base</w:t>
            </w:r>
            <w:r w:rsidRPr="004000BC">
              <w:rPr>
                <w:rFonts w:ascii="Times New Roman" w:eastAsia="Times New Roman" w:hAnsi="Times New Roman" w:cs="Times New Roman"/>
                <w:kern w:val="0"/>
                <w:lang w:eastAsia="en-GB"/>
                <w14:ligatures w14:val="none"/>
              </w:rPr>
              <w:t xml:space="preserve"> (B2C + 1–2 bank partnerships + employer wellness)</w:t>
            </w:r>
          </w:p>
        </w:tc>
        <w:tc>
          <w:tcPr>
            <w:tcW w:w="0" w:type="auto"/>
            <w:vAlign w:val="center"/>
            <w:hideMark/>
          </w:tcPr>
          <w:p w14:paraId="4852428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750,000</w:t>
            </w:r>
          </w:p>
        </w:tc>
        <w:tc>
          <w:tcPr>
            <w:tcW w:w="0" w:type="auto"/>
            <w:vAlign w:val="center"/>
            <w:hideMark/>
          </w:tcPr>
          <w:p w14:paraId="16CEC50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75,000 B2C + 200,000 partner seats</w:t>
            </w:r>
          </w:p>
        </w:tc>
        <w:tc>
          <w:tcPr>
            <w:tcW w:w="0" w:type="auto"/>
            <w:vAlign w:val="center"/>
            <w:hideMark/>
          </w:tcPr>
          <w:p w14:paraId="1568854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3.1%</w:t>
            </w:r>
          </w:p>
        </w:tc>
        <w:tc>
          <w:tcPr>
            <w:tcW w:w="0" w:type="auto"/>
            <w:vAlign w:val="center"/>
            <w:hideMark/>
          </w:tcPr>
          <w:p w14:paraId="65CE3E2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~R80M (~$4.3M)</w:t>
            </w:r>
          </w:p>
        </w:tc>
      </w:tr>
      <w:tr w:rsidR="004000BC" w:rsidRPr="004000BC" w14:paraId="44B33C46" w14:textId="77777777">
        <w:trPr>
          <w:tblCellSpacing w:w="15" w:type="dxa"/>
        </w:trPr>
        <w:tc>
          <w:tcPr>
            <w:tcW w:w="0" w:type="auto"/>
            <w:vAlign w:val="center"/>
            <w:hideMark/>
          </w:tcPr>
          <w:p w14:paraId="041EE161"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Bull (multi-bank + DBE/NSFAS + corporate wellness)</w:t>
            </w:r>
          </w:p>
        </w:tc>
        <w:tc>
          <w:tcPr>
            <w:tcW w:w="0" w:type="auto"/>
            <w:vAlign w:val="center"/>
            <w:hideMark/>
          </w:tcPr>
          <w:p w14:paraId="2FB9027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2,000,000</w:t>
            </w:r>
          </w:p>
        </w:tc>
        <w:tc>
          <w:tcPr>
            <w:tcW w:w="0" w:type="auto"/>
            <w:vAlign w:val="center"/>
            <w:hideMark/>
          </w:tcPr>
          <w:p w14:paraId="67A1040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150,000 B2C + 600,000 partner seats</w:t>
            </w:r>
          </w:p>
        </w:tc>
        <w:tc>
          <w:tcPr>
            <w:tcW w:w="0" w:type="auto"/>
            <w:vAlign w:val="center"/>
            <w:hideMark/>
          </w:tcPr>
          <w:p w14:paraId="27241DC4"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8.3%</w:t>
            </w:r>
          </w:p>
        </w:tc>
        <w:tc>
          <w:tcPr>
            <w:tcW w:w="0" w:type="auto"/>
            <w:vAlign w:val="center"/>
            <w:hideMark/>
          </w:tcPr>
          <w:p w14:paraId="2F96BBE6"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~R200M+</w:t>
            </w:r>
          </w:p>
        </w:tc>
      </w:tr>
    </w:tbl>
    <w:p w14:paraId="2B1C1B7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Base case is grounded in real benchmarks: TymeBank added 10.7M customers over six years powered by retail kiosks (TymeBank press release, 1 October 2024; CGAP TymeBank case study, cgap.org/research/publication/tymebank-case-study-customer-impact-of-inclusive-digital-banking); Showmax has ~2.1M paying subscribers across all 44 African markets after nine years (Rest of World, 2024); Discovery Vitality Active Rewards has 725,000 registered users embedded in an insurance ecosystem (Discovery, 2024).</w:t>
      </w:r>
    </w:p>
    <w:p w14:paraId="7056ED2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6.3 The ARPU ceiling</w:t>
      </w:r>
    </w:p>
    <w:p w14:paraId="51D62A6B"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 daily-use financial app priced above R49/month will face severe price elasticity. Showmax African blended ARPU sits at </w:t>
      </w:r>
      <w:r w:rsidRPr="004000BC">
        <w:rPr>
          <w:rFonts w:ascii="Times New Roman" w:eastAsia="Times New Roman" w:hAnsi="Times New Roman" w:cs="Times New Roman"/>
          <w:b/>
          <w:bCs/>
          <w:kern w:val="0"/>
          <w:lang w:eastAsia="en-GB"/>
          <w14:ligatures w14:val="none"/>
        </w:rPr>
        <w:t>~$2.90 (~R54)</w:t>
      </w:r>
      <w:r w:rsidRPr="004000BC">
        <w:rPr>
          <w:rFonts w:ascii="Times New Roman" w:eastAsia="Times New Roman" w:hAnsi="Times New Roman" w:cs="Times New Roman"/>
          <w:kern w:val="0"/>
          <w:lang w:eastAsia="en-GB"/>
          <w14:ligatures w14:val="none"/>
        </w:rPr>
        <w:t xml:space="preserve"> (OTTVerse, citing Omdia, ottverse.com/netflix-teams-up-with-canal-to-expand-in-sub-saharan-africa); Showmax Mobile in SA is R49, Netflix Mobile R49, Spotify Individual R69.99. Capitec banking is effectively free. </w:t>
      </w:r>
      <w:r w:rsidRPr="004000BC">
        <w:rPr>
          <w:rFonts w:ascii="Times New Roman" w:eastAsia="Times New Roman" w:hAnsi="Times New Roman" w:cs="Times New Roman"/>
          <w:b/>
          <w:bCs/>
          <w:kern w:val="0"/>
          <w:lang w:eastAsia="en-GB"/>
          <w14:ligatures w14:val="none"/>
        </w:rPr>
        <w:t xml:space="preserve">The </w:t>
      </w:r>
      <w:r w:rsidRPr="004000BC">
        <w:rPr>
          <w:rFonts w:ascii="Times New Roman" w:eastAsia="Times New Roman" w:hAnsi="Times New Roman" w:cs="Times New Roman"/>
          <w:b/>
          <w:bCs/>
          <w:kern w:val="0"/>
          <w:lang w:eastAsia="en-GB"/>
          <w14:ligatures w14:val="none"/>
        </w:rPr>
        <w:lastRenderedPageBreak/>
        <w:t>realistic SA price ladder is: free freemium tier, R29–R49/month paid tier, R299 annual prepay.</w:t>
      </w:r>
      <w:r w:rsidRPr="004000BC">
        <w:rPr>
          <w:rFonts w:ascii="Times New Roman" w:eastAsia="Times New Roman" w:hAnsi="Times New Roman" w:cs="Times New Roman"/>
          <w:kern w:val="0"/>
          <w:lang w:eastAsia="en-GB"/>
          <w14:ligatures w14:val="none"/>
        </w:rPr>
        <w:t xml:space="preserve"> Conversion of 3–6% is realistic — below Duolingo's ~8% global rate.</w:t>
      </w:r>
    </w:p>
    <w:p w14:paraId="20263EF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6.4 Data costs as a tax on engagement</w:t>
      </w:r>
    </w:p>
    <w:p w14:paraId="76493E8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ICASA's Q4 2024/25 Bi-Annual Tariff Analysis Report (icasa.org.za) shows 30-day 1GB bundles clustering between R85–R149, with in-bundle rates of R0.12–R0.14/MB. Cable.co.uk's </w:t>
      </w:r>
      <w:r w:rsidRPr="004000BC">
        <w:rPr>
          <w:rFonts w:ascii="Times New Roman" w:eastAsia="Times New Roman" w:hAnsi="Times New Roman" w:cs="Times New Roman"/>
          <w:i/>
          <w:iCs/>
          <w:kern w:val="0"/>
          <w:lang w:eastAsia="en-GB"/>
          <w14:ligatures w14:val="none"/>
        </w:rPr>
        <w:t>Worldwide Mobile Data Pricing 2023</w:t>
      </w:r>
      <w:r w:rsidRPr="004000BC">
        <w:rPr>
          <w:rFonts w:ascii="Times New Roman" w:eastAsia="Times New Roman" w:hAnsi="Times New Roman" w:cs="Times New Roman"/>
          <w:kern w:val="0"/>
          <w:lang w:eastAsia="en-GB"/>
          <w14:ligatures w14:val="none"/>
        </w:rPr>
        <w:t xml:space="preserve"> (5,603 plans, 237 countries) ranks SA at $1.18–$1.81/GB, placing it at </w:t>
      </w:r>
      <w:r w:rsidRPr="004000BC">
        <w:rPr>
          <w:rFonts w:ascii="Times New Roman" w:eastAsia="Times New Roman" w:hAnsi="Times New Roman" w:cs="Times New Roman"/>
          <w:b/>
          <w:bCs/>
          <w:kern w:val="0"/>
          <w:lang w:eastAsia="en-GB"/>
          <w14:ligatures w14:val="none"/>
        </w:rPr>
        <w:t>#149 of 237</w:t>
      </w:r>
      <w:r w:rsidRPr="004000BC">
        <w:rPr>
          <w:rFonts w:ascii="Times New Roman" w:eastAsia="Times New Roman" w:hAnsi="Times New Roman" w:cs="Times New Roman"/>
          <w:kern w:val="0"/>
          <w:lang w:eastAsia="en-GB"/>
          <w14:ligatures w14:val="none"/>
        </w:rPr>
        <w:t xml:space="preserve"> — bottom 40% globally. ICASA's amended End-User and Subscriber Service Charter regulations on bundle expiry only take effect </w:t>
      </w:r>
      <w:r w:rsidRPr="004000BC">
        <w:rPr>
          <w:rFonts w:ascii="Times New Roman" w:eastAsia="Times New Roman" w:hAnsi="Times New Roman" w:cs="Times New Roman"/>
          <w:b/>
          <w:bCs/>
          <w:kern w:val="0"/>
          <w:lang w:eastAsia="en-GB"/>
          <w14:ligatures w14:val="none"/>
        </w:rPr>
        <w:t>January 2027</w:t>
      </w:r>
      <w:r w:rsidRPr="004000BC">
        <w:rPr>
          <w:rFonts w:ascii="Times New Roman" w:eastAsia="Times New Roman" w:hAnsi="Times New Roman" w:cs="Times New Roman"/>
          <w:kern w:val="0"/>
          <w:lang w:eastAsia="en-GB"/>
          <w14:ligatures w14:val="none"/>
        </w:rPr>
        <w:t xml:space="preserve"> (SABC News, 2026, sabcnews.com/icasa-amends-mobile-data-bundle-expiry-regulations). Until then, every MB consumed by Fundi is a regressive tax on the prepaid majority (≈80% of SA mobile users). The product must be lean: &lt;5MB/session, offline-capable lessons, and ideally a WhatsApp delivery option for the lowest-data segment.</w:t>
      </w:r>
    </w:p>
    <w:p w14:paraId="72F0838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6.5 CAC reality</w:t>
      </w:r>
    </w:p>
    <w:p w14:paraId="0FF1CA3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Meta Ads in SA averages CPM </w:t>
      </w:r>
      <w:r w:rsidRPr="004000BC">
        <w:rPr>
          <w:rFonts w:ascii="Times New Roman" w:eastAsia="Times New Roman" w:hAnsi="Times New Roman" w:cs="Times New Roman"/>
          <w:b/>
          <w:bCs/>
          <w:kern w:val="0"/>
          <w:lang w:eastAsia="en-GB"/>
          <w14:ligatures w14:val="none"/>
        </w:rPr>
        <w:t>~$2.82 in 2025</w:t>
      </w:r>
      <w:r w:rsidRPr="004000BC">
        <w:rPr>
          <w:rFonts w:ascii="Times New Roman" w:eastAsia="Times New Roman" w:hAnsi="Times New Roman" w:cs="Times New Roman"/>
          <w:kern w:val="0"/>
          <w:lang w:eastAsia="en-GB"/>
          <w14:ligatures w14:val="none"/>
        </w:rPr>
        <w:t xml:space="preserve"> (Superads.ai, superads.ai/facebook-ads-costs/cpm-cost-per-mille/south-africa) — about 17% of the global Facebook CPM (~$16.06; Shopify, shopify.com/za/blog/facebook-ads-cost). At a 1% CTR, 20% install rate, 30% signup and 5% free-to-paid conversion, </w:t>
      </w:r>
      <w:r w:rsidRPr="004000BC">
        <w:rPr>
          <w:rFonts w:ascii="Times New Roman" w:eastAsia="Times New Roman" w:hAnsi="Times New Roman" w:cs="Times New Roman"/>
          <w:b/>
          <w:bCs/>
          <w:kern w:val="0"/>
          <w:lang w:eastAsia="en-GB"/>
          <w14:ligatures w14:val="none"/>
        </w:rPr>
        <w:t>paid CAC works out to ~R175 ($9.40)</w:t>
      </w:r>
      <w:r w:rsidRPr="004000BC">
        <w:rPr>
          <w:rFonts w:ascii="Times New Roman" w:eastAsia="Times New Roman" w:hAnsi="Times New Roman" w:cs="Times New Roman"/>
          <w:kern w:val="0"/>
          <w:lang w:eastAsia="en-GB"/>
          <w14:ligatures w14:val="none"/>
        </w:rPr>
        <w:t xml:space="preserve">. With R49/month ARPU and 12-month average retention, LTV is ~R588 ($31.60), giving LTV:CAC of ~3.4:1 — </w:t>
      </w:r>
      <w:r w:rsidRPr="004000BC">
        <w:rPr>
          <w:rFonts w:ascii="Times New Roman" w:eastAsia="Times New Roman" w:hAnsi="Times New Roman" w:cs="Times New Roman"/>
          <w:i/>
          <w:iCs/>
          <w:kern w:val="0"/>
          <w:lang w:eastAsia="en-GB"/>
          <w14:ligatures w14:val="none"/>
        </w:rPr>
        <w:t>marginally workable but only if retention holds</w:t>
      </w:r>
      <w:r w:rsidRPr="004000BC">
        <w:rPr>
          <w:rFonts w:ascii="Times New Roman" w:eastAsia="Times New Roman" w:hAnsi="Times New Roman" w:cs="Times New Roman"/>
          <w:kern w:val="0"/>
          <w:lang w:eastAsia="en-GB"/>
          <w14:ligatures w14:val="none"/>
        </w:rPr>
        <w:t xml:space="preserve">. The TymeBank precedent is more sobering: their </w:t>
      </w:r>
      <w:r w:rsidRPr="004000BC">
        <w:rPr>
          <w:rFonts w:ascii="Times New Roman" w:eastAsia="Times New Roman" w:hAnsi="Times New Roman" w:cs="Times New Roman"/>
          <w:b/>
          <w:bCs/>
          <w:kern w:val="0"/>
          <w:lang w:eastAsia="en-GB"/>
          <w14:ligatures w14:val="none"/>
        </w:rPr>
        <w:t>CAC sits at ~$3–$4 per customer</w:t>
      </w:r>
      <w:r w:rsidRPr="004000BC">
        <w:rPr>
          <w:rFonts w:ascii="Times New Roman" w:eastAsia="Times New Roman" w:hAnsi="Times New Roman" w:cs="Times New Roman"/>
          <w:kern w:val="0"/>
          <w:lang w:eastAsia="en-GB"/>
          <w14:ligatures w14:val="none"/>
        </w:rPr>
        <w:t xml:space="preserve">, but only because they have Pick n Pay/Boxer kiosk distribution (CGAP, 2022; World Bank, </w:t>
      </w:r>
      <w:r w:rsidRPr="004000BC">
        <w:rPr>
          <w:rFonts w:ascii="Times New Roman" w:eastAsia="Times New Roman" w:hAnsi="Times New Roman" w:cs="Times New Roman"/>
          <w:i/>
          <w:iCs/>
          <w:kern w:val="0"/>
          <w:lang w:eastAsia="en-GB"/>
          <w14:ligatures w14:val="none"/>
        </w:rPr>
        <w:t>Inclusive Digital Banking</w:t>
      </w:r>
      <w:r w:rsidRPr="004000BC">
        <w:rPr>
          <w:rFonts w:ascii="Times New Roman" w:eastAsia="Times New Roman" w:hAnsi="Times New Roman" w:cs="Times New Roman"/>
          <w:kern w:val="0"/>
          <w:lang w:eastAsia="en-GB"/>
          <w14:ligatures w14:val="none"/>
        </w:rPr>
        <w:t xml:space="preserve">, documents1.worldbank.org/curated/en/099420002142211027). Pure-app SA fintech does not get $4 CAC. </w:t>
      </w:r>
      <w:r w:rsidRPr="004000BC">
        <w:rPr>
          <w:rFonts w:ascii="Times New Roman" w:eastAsia="Times New Roman" w:hAnsi="Times New Roman" w:cs="Times New Roman"/>
          <w:b/>
          <w:bCs/>
          <w:kern w:val="0"/>
          <w:lang w:eastAsia="en-GB"/>
          <w14:ligatures w14:val="none"/>
        </w:rPr>
        <w:t>Partnerships are not optional; they are the unit-economics oxygen.</w:t>
      </w:r>
    </w:p>
    <w:p w14:paraId="49E6D461"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6.6 Monetisation routes ranked by realism</w:t>
      </w:r>
    </w:p>
    <w:p w14:paraId="376E5C83"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B2B2C distribution via banks</w:t>
      </w:r>
      <w:r w:rsidRPr="004000BC">
        <w:rPr>
          <w:rFonts w:ascii="Times New Roman" w:eastAsia="Times New Roman" w:hAnsi="Times New Roman" w:cs="Times New Roman"/>
          <w:kern w:val="0"/>
          <w:lang w:eastAsia="en-GB"/>
          <w14:ligatures w14:val="none"/>
        </w:rPr>
        <w:t xml:space="preserve"> (Capitec, TymeBank, FNB) — highest leverage. One white-label or co-brand deal could deliver 500k–2M users. Capitec already distributes a 50% Showmax discount in-app; the precedent for embedded third-party services exists.</w:t>
      </w:r>
    </w:p>
    <w:p w14:paraId="1FDFEE2D"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B2B employer financial wellness</w:t>
      </w:r>
      <w:r w:rsidRPr="004000BC">
        <w:rPr>
          <w:rFonts w:ascii="Times New Roman" w:eastAsia="Times New Roman" w:hAnsi="Times New Roman" w:cs="Times New Roman"/>
          <w:kern w:val="0"/>
          <w:lang w:eastAsia="en-GB"/>
          <w14:ligatures w14:val="none"/>
        </w:rPr>
        <w:t xml:space="preserve"> — Sanlam Reality, Momentum Multiply, Discovery Vitality demonstrate the SA market for embedded wellness rewards. Selling seats to insurers/employers at R10–R20/seat/month is the most reliable revenue.</w:t>
      </w:r>
    </w:p>
    <w:p w14:paraId="6CC0ECFE"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B2C freemium</w:t>
      </w:r>
      <w:r w:rsidRPr="004000BC">
        <w:rPr>
          <w:rFonts w:ascii="Times New Roman" w:eastAsia="Times New Roman" w:hAnsi="Times New Roman" w:cs="Times New Roman"/>
          <w:kern w:val="0"/>
          <w:lang w:eastAsia="en-GB"/>
          <w14:ligatures w14:val="none"/>
        </w:rPr>
        <w:t xml:space="preserve"> — possible but slow without channel partners; do not premise the model on this.</w:t>
      </w:r>
    </w:p>
    <w:p w14:paraId="4050B267" w14:textId="77777777" w:rsidR="004000BC" w:rsidRPr="004000BC" w:rsidRDefault="004000BC" w:rsidP="004000B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B2G/NSFAS/DBE</w:t>
      </w:r>
      <w:r w:rsidRPr="004000BC">
        <w:rPr>
          <w:rFonts w:ascii="Times New Roman" w:eastAsia="Times New Roman" w:hAnsi="Times New Roman" w:cs="Times New Roman"/>
          <w:kern w:val="0"/>
          <w:lang w:eastAsia="en-GB"/>
          <w14:ligatures w14:val="none"/>
        </w:rPr>
        <w:t xml:space="preserve"> — 1.1M NSFAS students at R10/student/month = R132M potential, but 12–24-month procurement cycles and political risk.</w:t>
      </w:r>
    </w:p>
    <w:p w14:paraId="72D8E312"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5EA61DF">
          <v:rect id="_x0000_i1031" style="width:0;height:1.5pt" o:hralign="center" o:hrstd="t" o:hr="t" fillcolor="#a0a0a0" stroked="f"/>
        </w:pict>
      </w:r>
    </w:p>
    <w:p w14:paraId="058C1896"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7. Risks, blind spots, failed precedents</w:t>
      </w:r>
    </w:p>
    <w:p w14:paraId="6A97ED4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7.1 The brand-name problem</w:t>
      </w:r>
    </w:p>
    <w:p w14:paraId="6177E01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Fundi Capital (Pty) Ltd, formerly Eduloan, is the largest specialist education-finance company in SA. It has 900,000+ loans issued, over R10 billion in administered bursary funds, GEPF as 40% shareholder and Standard Bank as 16.5% shareholder, and operates the existing domain fundifinance.co.za (Fundi Capital, fundifinance.co.za/about-fundi.php; PIC, </w:t>
      </w:r>
      <w:r w:rsidRPr="004000BC">
        <w:rPr>
          <w:rFonts w:ascii="Times New Roman" w:eastAsia="Times New Roman" w:hAnsi="Times New Roman" w:cs="Times New Roman"/>
          <w:i/>
          <w:iCs/>
          <w:kern w:val="0"/>
          <w:lang w:eastAsia="en-GB"/>
          <w14:ligatures w14:val="none"/>
        </w:rPr>
        <w:t>Fundi Capital Unlisted Investment Disclosure</w:t>
      </w:r>
      <w:r w:rsidRPr="004000BC">
        <w:rPr>
          <w:rFonts w:ascii="Times New Roman" w:eastAsia="Times New Roman" w:hAnsi="Times New Roman" w:cs="Times New Roman"/>
          <w:kern w:val="0"/>
          <w:lang w:eastAsia="en-GB"/>
          <w14:ligatures w14:val="none"/>
        </w:rPr>
        <w:t>, pic.gov.za/DocPresentations/29.-Fundi-Capital.pdf). Building a finance-adjacent consumer app under "Fundi" creates trademark exposure, SEO obliteration, and direct consumer-confusion risk in the same category. Rebrand before launch.</w:t>
      </w:r>
    </w:p>
    <w:p w14:paraId="4EDCBDE1"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7.2 The regulatory tripwire</w:t>
      </w:r>
    </w:p>
    <w:p w14:paraId="056D2D52"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FAIS Act 37 of 2002 defines "advice" broadly enough that recommending product types, asset classes, or even retirement-planning sequences risks triggering Financial Services Provider licensing (s.1(1), gov.za/sites/default/files/gcis_document/201409/a37-020.pdf). The carve-out for "factual information about procedures, description of financial products, answering routine questions, or distribution of promotional material" is narrow. Vault22 itself operates as </w:t>
      </w:r>
      <w:r w:rsidRPr="004000BC">
        <w:rPr>
          <w:rFonts w:ascii="Times New Roman" w:eastAsia="Times New Roman" w:hAnsi="Times New Roman" w:cs="Times New Roman"/>
          <w:b/>
          <w:bCs/>
          <w:kern w:val="0"/>
          <w:lang w:eastAsia="en-GB"/>
          <w14:ligatures w14:val="none"/>
        </w:rPr>
        <w:t>a juristic representative of Chalford Capital (Pty) Ltd, FSP 52925</w:t>
      </w:r>
      <w:r w:rsidRPr="004000BC">
        <w:rPr>
          <w:rFonts w:ascii="Times New Roman" w:eastAsia="Times New Roman" w:hAnsi="Times New Roman" w:cs="Times New Roman"/>
          <w:kern w:val="0"/>
          <w:lang w:eastAsia="en-GB"/>
          <w14:ligatures w14:val="none"/>
        </w:rPr>
        <w:t xml:space="preserve"> (Vault22 website footer) — meaning even SA's most-funded PFM app needed FSP infrastructure. Add POPIA: an app collecting transaction-level financial behaviour data faces fines up to R10 million for serious offences (Scytale, scytale.ai/resources/popia-compliance; POPIA s.1, justice.gov.za).</w:t>
      </w:r>
    </w:p>
    <w:p w14:paraId="4870485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founder being a Liberty advisor creates conflict-of-interest obligations under FAIS s.16, but the reputational risk is sharper. Vault22's current Google Play reviews ("a push to flog its own financial products… far from subtle") preview exactly the criticism a Liberty-tied founder will face. Mitigations: independent advisory board, transparent product-recommendation logic, formal Chinese wall between Liberty advisory work and Fundi recommendations.</w:t>
      </w:r>
    </w:p>
    <w:p w14:paraId="1693986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7.3 What killed previous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7599"/>
      </w:tblGrid>
      <w:tr w:rsidR="004000BC" w:rsidRPr="004000BC" w14:paraId="70639D94" w14:textId="77777777">
        <w:trPr>
          <w:tblHeader/>
          <w:tblCellSpacing w:w="15" w:type="dxa"/>
        </w:trPr>
        <w:tc>
          <w:tcPr>
            <w:tcW w:w="0" w:type="auto"/>
            <w:vAlign w:val="center"/>
            <w:hideMark/>
          </w:tcPr>
          <w:p w14:paraId="374B8C9A"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Casualty</w:t>
            </w:r>
          </w:p>
        </w:tc>
        <w:tc>
          <w:tcPr>
            <w:tcW w:w="0" w:type="auto"/>
            <w:vAlign w:val="center"/>
            <w:hideMark/>
          </w:tcPr>
          <w:p w14:paraId="685DC536" w14:textId="77777777" w:rsidR="004000BC" w:rsidRPr="004000BC" w:rsidRDefault="004000BC" w:rsidP="004000BC">
            <w:pPr>
              <w:spacing w:after="0" w:line="240" w:lineRule="auto"/>
              <w:jc w:val="center"/>
              <w:rPr>
                <w:rFonts w:ascii="Times New Roman" w:eastAsia="Times New Roman" w:hAnsi="Times New Roman" w:cs="Times New Roman"/>
                <w:b/>
                <w:bCs/>
                <w:kern w:val="0"/>
                <w:lang w:eastAsia="en-GB"/>
                <w14:ligatures w14:val="none"/>
              </w:rPr>
            </w:pPr>
            <w:r w:rsidRPr="004000BC">
              <w:rPr>
                <w:rFonts w:ascii="Times New Roman" w:eastAsia="Times New Roman" w:hAnsi="Times New Roman" w:cs="Times New Roman"/>
                <w:b/>
                <w:bCs/>
                <w:kern w:val="0"/>
                <w:lang w:eastAsia="en-GB"/>
                <w14:ligatures w14:val="none"/>
              </w:rPr>
              <w:t>Cause</w:t>
            </w:r>
          </w:p>
        </w:tc>
      </w:tr>
      <w:tr w:rsidR="004000BC" w:rsidRPr="004000BC" w14:paraId="72629949" w14:textId="77777777">
        <w:trPr>
          <w:tblCellSpacing w:w="15" w:type="dxa"/>
        </w:trPr>
        <w:tc>
          <w:tcPr>
            <w:tcW w:w="0" w:type="auto"/>
            <w:vAlign w:val="center"/>
            <w:hideMark/>
          </w:tcPr>
          <w:p w14:paraId="38A1255C"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22seven (now Vault22)</w:t>
            </w:r>
          </w:p>
        </w:tc>
        <w:tc>
          <w:tcPr>
            <w:tcW w:w="0" w:type="auto"/>
            <w:vAlign w:val="center"/>
            <w:hideMark/>
          </w:tcPr>
          <w:p w14:paraId="19231829"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Could not sustain paid subscription; pivoted to free, then in-house, then API/data services, then JV rebrand. 13 years of runway.</w:t>
            </w:r>
          </w:p>
        </w:tc>
      </w:tr>
      <w:tr w:rsidR="004000BC" w:rsidRPr="004000BC" w14:paraId="0DAD6D75" w14:textId="77777777">
        <w:trPr>
          <w:tblCellSpacing w:w="15" w:type="dxa"/>
        </w:trPr>
        <w:tc>
          <w:tcPr>
            <w:tcW w:w="0" w:type="auto"/>
            <w:vAlign w:val="center"/>
            <w:hideMark/>
          </w:tcPr>
          <w:p w14:paraId="4B9F6ECB"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Mint (US)</w:t>
            </w:r>
          </w:p>
        </w:tc>
        <w:tc>
          <w:tcPr>
            <w:tcW w:w="0" w:type="auto"/>
            <w:vAlign w:val="center"/>
            <w:hideMark/>
          </w:tcPr>
          <w:p w14:paraId="3E6A438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Free PFM not viable — Val Agostino, Mint's first PM: </w:t>
            </w:r>
            <w:r w:rsidRPr="004000BC">
              <w:rPr>
                <w:rFonts w:ascii="Times New Roman" w:eastAsia="Times New Roman" w:hAnsi="Times New Roman" w:cs="Times New Roman"/>
                <w:i/>
                <w:iCs/>
                <w:kern w:val="0"/>
                <w:lang w:eastAsia="en-GB"/>
                <w14:ligatures w14:val="none"/>
              </w:rPr>
              <w:t>"A free personal finance app is simply not a viable business"</w:t>
            </w:r>
            <w:r w:rsidRPr="004000BC">
              <w:rPr>
                <w:rFonts w:ascii="Times New Roman" w:eastAsia="Times New Roman" w:hAnsi="Times New Roman" w:cs="Times New Roman"/>
                <w:kern w:val="0"/>
                <w:lang w:eastAsia="en-GB"/>
                <w14:ligatures w14:val="none"/>
              </w:rPr>
              <w:t xml:space="preserve"> (Monarch blog, monarch.com/blog/mint-shutting-down). Shut down by Intuit January 2024 with 3.6M MAU.</w:t>
            </w:r>
          </w:p>
        </w:tc>
      </w:tr>
      <w:tr w:rsidR="004000BC" w:rsidRPr="004000BC" w14:paraId="5F617B45" w14:textId="77777777">
        <w:trPr>
          <w:tblCellSpacing w:w="15" w:type="dxa"/>
        </w:trPr>
        <w:tc>
          <w:tcPr>
            <w:tcW w:w="0" w:type="auto"/>
            <w:vAlign w:val="center"/>
            <w:hideMark/>
          </w:tcPr>
          <w:p w14:paraId="514CEC0F"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Long Game (US)</w:t>
            </w:r>
          </w:p>
        </w:tc>
        <w:tc>
          <w:tcPr>
            <w:tcW w:w="0" w:type="auto"/>
            <w:vAlign w:val="center"/>
            <w:hideMark/>
          </w:tcPr>
          <w:p w14:paraId="0F08CB07"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Acquired by Truist May 2022, </w:t>
            </w:r>
            <w:r w:rsidRPr="004000BC">
              <w:rPr>
                <w:rFonts w:ascii="Times New Roman" w:eastAsia="Times New Roman" w:hAnsi="Times New Roman" w:cs="Times New Roman"/>
                <w:b/>
                <w:bCs/>
                <w:kern w:val="0"/>
                <w:lang w:eastAsia="en-GB"/>
                <w14:ligatures w14:val="none"/>
              </w:rPr>
              <w:t>discontinued by 2024</w:t>
            </w:r>
            <w:r w:rsidRPr="004000BC">
              <w:rPr>
                <w:rFonts w:ascii="Times New Roman" w:eastAsia="Times New Roman" w:hAnsi="Times New Roman" w:cs="Times New Roman"/>
                <w:kern w:val="0"/>
                <w:lang w:eastAsia="en-GB"/>
                <w14:ligatures w14:val="none"/>
              </w:rPr>
              <w:t>. The most direct gamified-savings precedent died after acquisition.</w:t>
            </w:r>
          </w:p>
        </w:tc>
      </w:tr>
      <w:tr w:rsidR="004000BC" w:rsidRPr="004000BC" w14:paraId="2687F490" w14:textId="77777777">
        <w:trPr>
          <w:tblCellSpacing w:w="15" w:type="dxa"/>
        </w:trPr>
        <w:tc>
          <w:tcPr>
            <w:tcW w:w="0" w:type="auto"/>
            <w:vAlign w:val="center"/>
            <w:hideMark/>
          </w:tcPr>
          <w:p w14:paraId="39C2FAF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Bettr (SA)</w:t>
            </w:r>
          </w:p>
        </w:tc>
        <w:tc>
          <w:tcPr>
            <w:tcW w:w="0" w:type="auto"/>
            <w:vAlign w:val="center"/>
            <w:hideMark/>
          </w:tcPr>
          <w:p w14:paraId="08224A4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Quietly shut down in 2022 without announcement; app and website removed.</w:t>
            </w:r>
          </w:p>
        </w:tc>
      </w:tr>
      <w:tr w:rsidR="004000BC" w:rsidRPr="004000BC" w14:paraId="2317F803" w14:textId="77777777">
        <w:trPr>
          <w:tblCellSpacing w:w="15" w:type="dxa"/>
        </w:trPr>
        <w:tc>
          <w:tcPr>
            <w:tcW w:w="0" w:type="auto"/>
            <w:vAlign w:val="center"/>
            <w:hideMark/>
          </w:tcPr>
          <w:p w14:paraId="48BDF454"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Greenlight (US)</w:t>
            </w:r>
          </w:p>
        </w:tc>
        <w:tc>
          <w:tcPr>
            <w:tcW w:w="0" w:type="auto"/>
            <w:vAlign w:val="center"/>
            <w:hideMark/>
          </w:tcPr>
          <w:p w14:paraId="3A532750"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Laid off 21% of staff January 2023; teen-banking download volumes fell 26% YoY in Q1 2023.</w:t>
            </w:r>
          </w:p>
        </w:tc>
      </w:tr>
    </w:tbl>
    <w:p w14:paraId="69925DA9"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7.4 The deepest risk: literacy isn't the binding constraint</w:t>
      </w:r>
    </w:p>
    <w:p w14:paraId="2F1FFCAE"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QLFS Q4 2025 reports </w:t>
      </w:r>
      <w:r w:rsidRPr="004000BC">
        <w:rPr>
          <w:rFonts w:ascii="Times New Roman" w:eastAsia="Times New Roman" w:hAnsi="Times New Roman" w:cs="Times New Roman"/>
          <w:b/>
          <w:bCs/>
          <w:kern w:val="0"/>
          <w:lang w:eastAsia="en-GB"/>
          <w14:ligatures w14:val="none"/>
        </w:rPr>
        <w:t>31.4% official unemployment, 43.8% youth unemployment, 42.1% expanded unemployment</w:t>
      </w:r>
      <w:r w:rsidRPr="004000BC">
        <w:rPr>
          <w:rFonts w:ascii="Times New Roman" w:eastAsia="Times New Roman" w:hAnsi="Times New Roman" w:cs="Times New Roman"/>
          <w:kern w:val="0"/>
          <w:lang w:eastAsia="en-GB"/>
          <w14:ligatures w14:val="none"/>
        </w:rPr>
        <w:t xml:space="preserve"> (statssa.gov.za). SARS Tax Statistics </w:t>
      </w:r>
      <w:r w:rsidRPr="004000BC">
        <w:rPr>
          <w:rFonts w:ascii="Times New Roman" w:eastAsia="Times New Roman" w:hAnsi="Times New Roman" w:cs="Times New Roman"/>
          <w:kern w:val="0"/>
          <w:lang w:eastAsia="en-GB"/>
          <w14:ligatures w14:val="none"/>
        </w:rPr>
        <w:lastRenderedPageBreak/>
        <w:t xml:space="preserve">2025 records only </w:t>
      </w:r>
      <w:r w:rsidRPr="004000BC">
        <w:rPr>
          <w:rFonts w:ascii="Times New Roman" w:eastAsia="Times New Roman" w:hAnsi="Times New Roman" w:cs="Times New Roman"/>
          <w:b/>
          <w:bCs/>
          <w:kern w:val="0"/>
          <w:lang w:eastAsia="en-GB"/>
          <w14:ligatures w14:val="none"/>
        </w:rPr>
        <w:t>7.7 million people expected to submit returns for the 2024 tax year</w:t>
      </w:r>
      <w:r w:rsidRPr="004000BC">
        <w:rPr>
          <w:rFonts w:ascii="Times New Roman" w:eastAsia="Times New Roman" w:hAnsi="Times New Roman" w:cs="Times New Roman"/>
          <w:kern w:val="0"/>
          <w:lang w:eastAsia="en-GB"/>
          <w14:ligatures w14:val="none"/>
        </w:rPr>
        <w:t xml:space="preserve">, with nearly 50% of assessed taxpayers earning under R95,750 (SARS, </w:t>
      </w:r>
      <w:r w:rsidRPr="004000BC">
        <w:rPr>
          <w:rFonts w:ascii="Times New Roman" w:eastAsia="Times New Roman" w:hAnsi="Times New Roman" w:cs="Times New Roman"/>
          <w:i/>
          <w:iCs/>
          <w:kern w:val="0"/>
          <w:lang w:eastAsia="en-GB"/>
          <w14:ligatures w14:val="none"/>
        </w:rPr>
        <w:t>18th Annual Tax Statistics</w:t>
      </w:r>
      <w:r w:rsidRPr="004000BC">
        <w:rPr>
          <w:rFonts w:ascii="Times New Roman" w:eastAsia="Times New Roman" w:hAnsi="Times New Roman" w:cs="Times New Roman"/>
          <w:kern w:val="0"/>
          <w:lang w:eastAsia="en-GB"/>
          <w14:ligatures w14:val="none"/>
        </w:rPr>
        <w:t xml:space="preserve">, 5 December 2025). The J-PAL / Cole-Sampson-Zia (2011) evidence is unambiguous: </w:t>
      </w:r>
      <w:r w:rsidRPr="004000BC">
        <w:rPr>
          <w:rFonts w:ascii="Times New Roman" w:eastAsia="Times New Roman" w:hAnsi="Times New Roman" w:cs="Times New Roman"/>
          <w:b/>
          <w:bCs/>
          <w:kern w:val="0"/>
          <w:lang w:eastAsia="en-GB"/>
          <w14:ligatures w14:val="none"/>
        </w:rPr>
        <w:t>price subsidies move financial inclusion; literacy training largely does not</w:t>
      </w:r>
      <w:r w:rsidRPr="004000BC">
        <w:rPr>
          <w:rFonts w:ascii="Times New Roman" w:eastAsia="Times New Roman" w:hAnsi="Times New Roman" w:cs="Times New Roman"/>
          <w:kern w:val="0"/>
          <w:lang w:eastAsia="en-GB"/>
          <w14:ligatures w14:val="none"/>
        </w:rPr>
        <w:t>. The stokvel sector — R50bn flowing through 11M members — demonstrates that low-income South Africans already save informally. The product question is therefore not "how do we teach you to save?" but "what does an app add to a stokvel-running mother of two earning R6,000/month?" If you can't answer that crisply, the literacy thesis is mis-targeted.</w:t>
      </w:r>
    </w:p>
    <w:p w14:paraId="792D625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7.5 The Robinhood warning</w:t>
      </w:r>
    </w:p>
    <w:p w14:paraId="5D22C094"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US regulators have sued Robinhood over gamification of financial decisions (Massachusetts, 2020). Gamifying </w:t>
      </w:r>
      <w:r w:rsidRPr="004000BC">
        <w:rPr>
          <w:rFonts w:ascii="Times New Roman" w:eastAsia="Times New Roman" w:hAnsi="Times New Roman" w:cs="Times New Roman"/>
          <w:i/>
          <w:iCs/>
          <w:kern w:val="0"/>
          <w:lang w:eastAsia="en-GB"/>
          <w14:ligatures w14:val="none"/>
        </w:rPr>
        <w:t>decisions</w:t>
      </w:r>
      <w:r w:rsidRPr="004000BC">
        <w:rPr>
          <w:rFonts w:ascii="Times New Roman" w:eastAsia="Times New Roman" w:hAnsi="Times New Roman" w:cs="Times New Roman"/>
          <w:kern w:val="0"/>
          <w:lang w:eastAsia="en-GB"/>
          <w14:ligatures w14:val="none"/>
        </w:rPr>
        <w:t xml:space="preserve"> with monetary stakes — not just learning — is a separate regulatory category. As Fundi scales toward recommending products or actions, gamification mechanics intersect with conduct supervision under the FSCA's Twin Peaks mandate.</w:t>
      </w:r>
    </w:p>
    <w:p w14:paraId="1942DC4A"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BB94A42">
          <v:rect id="_x0000_i1032" style="width:0;height:1.5pt" o:hralign="center" o:hrstd="t" o:hr="t" fillcolor="#a0a0a0" stroked="f"/>
        </w:pict>
      </w:r>
    </w:p>
    <w:p w14:paraId="3509B34A"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8. Recommended ICP — what the data actually says</w:t>
      </w:r>
    </w:p>
    <w:p w14:paraId="502FDE65"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brief asked for the research to </w:t>
      </w:r>
      <w:r w:rsidRPr="004000BC">
        <w:rPr>
          <w:rFonts w:ascii="Times New Roman" w:eastAsia="Times New Roman" w:hAnsi="Times New Roman" w:cs="Times New Roman"/>
          <w:i/>
          <w:iCs/>
          <w:kern w:val="0"/>
          <w:lang w:eastAsia="en-GB"/>
          <w14:ligatures w14:val="none"/>
        </w:rPr>
        <w:t>tell</w:t>
      </w:r>
      <w:r w:rsidRPr="004000BC">
        <w:rPr>
          <w:rFonts w:ascii="Times New Roman" w:eastAsia="Times New Roman" w:hAnsi="Times New Roman" w:cs="Times New Roman"/>
          <w:kern w:val="0"/>
          <w:lang w:eastAsia="en-GB"/>
          <w14:ligatures w14:val="none"/>
        </w:rPr>
        <w:t xml:space="preserve"> the founder who the ICP should be. The data points, with one strong, two qualifying, and one explicitly de-prioritised segment.</w:t>
      </w:r>
    </w:p>
    <w:p w14:paraId="5773B197"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8.1 De-prioritise: "18–35 broad"</w:t>
      </w:r>
    </w:p>
    <w:p w14:paraId="0C70D31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assumed 18–35 segment fails on three grounds. </w:t>
      </w:r>
      <w:r w:rsidRPr="004000BC">
        <w:rPr>
          <w:rFonts w:ascii="Times New Roman" w:eastAsia="Times New Roman" w:hAnsi="Times New Roman" w:cs="Times New Roman"/>
          <w:b/>
          <w:bCs/>
          <w:kern w:val="0"/>
          <w:lang w:eastAsia="en-GB"/>
          <w14:ligatures w14:val="none"/>
        </w:rPr>
        <w:t>Income</w:t>
      </w:r>
      <w:r w:rsidRPr="004000BC">
        <w:rPr>
          <w:rFonts w:ascii="Times New Roman" w:eastAsia="Times New Roman" w:hAnsi="Times New Roman" w:cs="Times New Roman"/>
          <w:kern w:val="0"/>
          <w:lang w:eastAsia="en-GB"/>
          <w14:ligatures w14:val="none"/>
        </w:rPr>
        <w:t xml:space="preserve">: youth unemployment at 46.1% (QLFS Q1:2025) means a large fraction has no surplus to act on financial education. </w:t>
      </w:r>
      <w:r w:rsidRPr="004000BC">
        <w:rPr>
          <w:rFonts w:ascii="Times New Roman" w:eastAsia="Times New Roman" w:hAnsi="Times New Roman" w:cs="Times New Roman"/>
          <w:b/>
          <w:bCs/>
          <w:kern w:val="0"/>
          <w:lang w:eastAsia="en-GB"/>
          <w14:ligatures w14:val="none"/>
        </w:rPr>
        <w:t>Behavioural urgency</w:t>
      </w:r>
      <w:r w:rsidRPr="004000BC">
        <w:rPr>
          <w:rFonts w:ascii="Times New Roman" w:eastAsia="Times New Roman" w:hAnsi="Times New Roman" w:cs="Times New Roman"/>
          <w:kern w:val="0"/>
          <w:lang w:eastAsia="en-GB"/>
          <w14:ligatures w14:val="none"/>
        </w:rPr>
        <w:t xml:space="preserve">: two-pot withdrawal data shows the 25–34 cohort accounts for only 22% of activity, compared to 42% for 35–44 and 28% for 45–54 (Sanlam Corporate via The Citizen, 2025). </w:t>
      </w:r>
      <w:r w:rsidRPr="004000BC">
        <w:rPr>
          <w:rFonts w:ascii="Times New Roman" w:eastAsia="Times New Roman" w:hAnsi="Times New Roman" w:cs="Times New Roman"/>
          <w:b/>
          <w:bCs/>
          <w:kern w:val="0"/>
          <w:lang w:eastAsia="en-GB"/>
          <w14:ligatures w14:val="none"/>
        </w:rPr>
        <w:t>Acquisition cost</w:t>
      </w:r>
      <w:r w:rsidRPr="004000BC">
        <w:rPr>
          <w:rFonts w:ascii="Times New Roman" w:eastAsia="Times New Roman" w:hAnsi="Times New Roman" w:cs="Times New Roman"/>
          <w:kern w:val="0"/>
          <w:lang w:eastAsia="en-GB"/>
          <w14:ligatures w14:val="none"/>
        </w:rPr>
        <w:t>: youth segments overlap with the highest-CAC, lowest-LTV cohorts for any SA digital subscription business; Greenlight's 26% YoY download decline in the US teen segment is the cautionary precedent.</w:t>
      </w:r>
    </w:p>
    <w:p w14:paraId="5F5EB5AD"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The 18–35 framing also contains an internal contradiction: the founder needs paying users early and the literature says behaviour change requires </w:t>
      </w:r>
      <w:r w:rsidRPr="004000BC">
        <w:rPr>
          <w:rFonts w:ascii="Times New Roman" w:eastAsia="Times New Roman" w:hAnsi="Times New Roman" w:cs="Times New Roman"/>
          <w:i/>
          <w:iCs/>
          <w:kern w:val="0"/>
          <w:lang w:eastAsia="en-GB"/>
          <w14:ligatures w14:val="none"/>
        </w:rPr>
        <w:t>teachable moments</w:t>
      </w:r>
      <w:r w:rsidRPr="004000BC">
        <w:rPr>
          <w:rFonts w:ascii="Times New Roman" w:eastAsia="Times New Roman" w:hAnsi="Times New Roman" w:cs="Times New Roman"/>
          <w:kern w:val="0"/>
          <w:lang w:eastAsia="en-GB"/>
          <w14:ligatures w14:val="none"/>
        </w:rPr>
        <w:t>. The 18–22 sub-segment has fewer teachable moments. The 28–35 sub-segment overlaps with the much-more-behaviourally-active 30–45 mid-career band.</w:t>
      </w:r>
    </w:p>
    <w:p w14:paraId="4F6CA10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8.2 Primary ICP: Working professionals aged 28–45 in formal employment, earning R15,000–R45,000/month, facing a specific high-stakes financial moment</w:t>
      </w:r>
    </w:p>
    <w:p w14:paraId="1569D0E6"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This is the segment the two-pot data identifies as </w:t>
      </w:r>
      <w:r w:rsidRPr="004000BC">
        <w:rPr>
          <w:rFonts w:ascii="Times New Roman" w:eastAsia="Times New Roman" w:hAnsi="Times New Roman" w:cs="Times New Roman"/>
          <w:b/>
          <w:bCs/>
          <w:kern w:val="0"/>
          <w:lang w:eastAsia="en-GB"/>
          <w14:ligatures w14:val="none"/>
        </w:rPr>
        <w:t>most actively making financial decisions, most financially stressed, and most addressable through employer wellness channels</w:t>
      </w:r>
      <w:r w:rsidRPr="004000BC">
        <w:rPr>
          <w:rFonts w:ascii="Times New Roman" w:eastAsia="Times New Roman" w:hAnsi="Times New Roman" w:cs="Times New Roman"/>
          <w:kern w:val="0"/>
          <w:lang w:eastAsia="en-GB"/>
          <w14:ligatures w14:val="none"/>
        </w:rPr>
        <w:t>. Within this segment, the highest-yield sub-segments are:</w:t>
      </w:r>
    </w:p>
    <w:p w14:paraId="177FD51C" w14:textId="77777777" w:rsidR="004000BC" w:rsidRPr="004000BC" w:rsidRDefault="004000BC" w:rsidP="004000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Two-pot decision-makers</w:t>
      </w:r>
      <w:r w:rsidRPr="004000BC">
        <w:rPr>
          <w:rFonts w:ascii="Times New Roman" w:eastAsia="Times New Roman" w:hAnsi="Times New Roman" w:cs="Times New Roman"/>
          <w:kern w:val="0"/>
          <w:lang w:eastAsia="en-GB"/>
          <w14:ligatures w14:val="none"/>
        </w:rPr>
        <w:t xml:space="preserve"> (~2.4 million approved applicants, 80% from members below 50% replacement ratio — Sanlam Benchmark 2025; SARS, 31 January 2025). Acute, recurring (annual withdrawal window), and the regulator-mandated </w:t>
      </w:r>
      <w:r w:rsidRPr="004000BC">
        <w:rPr>
          <w:rFonts w:ascii="Times New Roman" w:eastAsia="Times New Roman" w:hAnsi="Times New Roman" w:cs="Times New Roman"/>
          <w:kern w:val="0"/>
          <w:lang w:eastAsia="en-GB"/>
          <w14:ligatures w14:val="none"/>
        </w:rPr>
        <w:lastRenderedPageBreak/>
        <w:t>information vacuum (SARS calculators used 1M+ times) is exactly the just-in-time gap Fernandes et al. (2014) identifies as the legitimate role for education.</w:t>
      </w:r>
    </w:p>
    <w:p w14:paraId="1E1F4693" w14:textId="77777777" w:rsidR="004000BC" w:rsidRPr="004000BC" w:rsidRDefault="004000BC" w:rsidP="004000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Debt-review-adjacent professionals</w:t>
      </w:r>
      <w:r w:rsidRPr="004000BC">
        <w:rPr>
          <w:rFonts w:ascii="Times New Roman" w:eastAsia="Times New Roman" w:hAnsi="Times New Roman" w:cs="Times New Roman"/>
          <w:kern w:val="0"/>
          <w:lang w:eastAsia="en-GB"/>
          <w14:ligatures w14:val="none"/>
        </w:rPr>
        <w:t xml:space="preserve"> earning R15,000–R45,000/month, where 91–96% of DebtBusters applicants now hold personal loans and debt-service is 70%+ of take-home pay (DebtBusters Q4 2025). This segment has felt pain, formal-employment payment infrastructure, and is reachable via employer wellness deals.</w:t>
      </w:r>
    </w:p>
    <w:p w14:paraId="30E3401B" w14:textId="77777777" w:rsidR="004000BC" w:rsidRPr="004000BC" w:rsidRDefault="004000BC" w:rsidP="004000B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Black middle class navigating "black tax"</w:t>
      </w:r>
      <w:r w:rsidRPr="004000BC">
        <w:rPr>
          <w:rFonts w:ascii="Times New Roman" w:eastAsia="Times New Roman" w:hAnsi="Times New Roman" w:cs="Times New Roman"/>
          <w:kern w:val="0"/>
          <w:lang w:eastAsia="en-GB"/>
          <w14:ligatures w14:val="none"/>
        </w:rPr>
        <w:t xml:space="preserve"> — extensively documented in academic media-framing research (Communitas, 2024, SciELO, scielo.org.za/scielo.php?pid=S2415-05252024000100008) and Old Mutual S&amp;IM data showing 70% of black households earning above R40,000/month still use stokvels. This segment carries inter-generational financial obligations that conventional Western finance content does not address.</w:t>
      </w:r>
    </w:p>
    <w:p w14:paraId="191F2952"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t>Acquisition channel</w:t>
      </w:r>
      <w:r w:rsidRPr="004000BC">
        <w:rPr>
          <w:rFonts w:ascii="Times New Roman" w:eastAsia="Times New Roman" w:hAnsi="Times New Roman" w:cs="Times New Roman"/>
          <w:kern w:val="0"/>
          <w:lang w:eastAsia="en-GB"/>
          <w14:ligatures w14:val="none"/>
        </w:rPr>
        <w:t>: B2B2C through (a) employer financial-wellness deals (Sanlam Reality, Discovery Vitality Money, Momentum Multiply pattern), (b) bank partnerships (Capitec, TymeBank, FNB), and (c) retirement-fund administrators (the two-pot decision is their pain). Direct B2C should be a secondary channel.</w:t>
      </w:r>
    </w:p>
    <w:p w14:paraId="5B80FCA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8.3 Qualifying ICP #1: NSFAS-funded university students 18–24</w:t>
      </w:r>
    </w:p>
    <w:p w14:paraId="7E68EED9"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NSFAS funds ~1.1 million students. The behavioural-economics case is that first-time access to monthly allowances creates </w:t>
      </w:r>
      <w:r w:rsidRPr="004000BC">
        <w:rPr>
          <w:rFonts w:ascii="Times New Roman" w:eastAsia="Times New Roman" w:hAnsi="Times New Roman" w:cs="Times New Roman"/>
          <w:i/>
          <w:iCs/>
          <w:kern w:val="0"/>
          <w:lang w:eastAsia="en-GB"/>
          <w14:ligatures w14:val="none"/>
        </w:rPr>
        <w:t>exactly</w:t>
      </w:r>
      <w:r w:rsidRPr="004000BC">
        <w:rPr>
          <w:rFonts w:ascii="Times New Roman" w:eastAsia="Times New Roman" w:hAnsi="Times New Roman" w:cs="Times New Roman"/>
          <w:kern w:val="0"/>
          <w:lang w:eastAsia="en-GB"/>
          <w14:ligatures w14:val="none"/>
        </w:rPr>
        <w:t xml:space="preserve"> the "before they make decisions they don't understand" teachable moment McKenzie (2022) identifies as the only condition under which financial education has empirically worked. The Drexler-Fischer-Schoar (2014) rule-of-thumb evidence transfers directly. Procurement risk is real, but pilot programmes via NSFAS-partner institutions are tractable.</w:t>
      </w:r>
    </w:p>
    <w:p w14:paraId="1AA001C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8.4 Qualifying ICP #2: Mid-career women managing household finances</w:t>
      </w:r>
    </w:p>
    <w:p w14:paraId="07710E61"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Benchmark 2025: only </w:t>
      </w:r>
      <w:r w:rsidRPr="004000BC">
        <w:rPr>
          <w:rFonts w:ascii="Times New Roman" w:eastAsia="Times New Roman" w:hAnsi="Times New Roman" w:cs="Times New Roman"/>
          <w:b/>
          <w:bCs/>
          <w:kern w:val="0"/>
          <w:lang w:eastAsia="en-GB"/>
          <w14:ligatures w14:val="none"/>
        </w:rPr>
        <w:t>38% of women</w:t>
      </w:r>
      <w:r w:rsidRPr="004000BC">
        <w:rPr>
          <w:rFonts w:ascii="Times New Roman" w:eastAsia="Times New Roman" w:hAnsi="Times New Roman" w:cs="Times New Roman"/>
          <w:kern w:val="0"/>
          <w:lang w:eastAsia="en-GB"/>
          <w14:ligatures w14:val="none"/>
        </w:rPr>
        <w:t xml:space="preserve"> believe they'll maintain their lifestyle in retirement; 49% of women have no retirement plan versus 43% of men (10X Retirement Reality Report 2023/2024). Nicolette Mashile, Mapalo Makhu and other creator-led financial education has demonstrated a large engaged female audience (Financial Bunny: 840,000+ social followers). The literature on personalised counselling complements (Carpena et al., 2019) maps cleanly to a women-focused, peer-cohort, goal-setting product.</w:t>
      </w:r>
    </w:p>
    <w:p w14:paraId="174165F9"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8.5 Explicit non-targets</w:t>
      </w:r>
    </w:p>
    <w:p w14:paraId="42F1C6E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Avoid: deep-poverty unemployed youth (income is the binding constraint, not knowledge — Cole-Sampson-Zia 2011); high-net-worth professionals already served by financial advisors; township informal-economy operators whose financial lives run through stokvels and mashonisas rather than formal channels (the unit economics and language coverage do not work).</w:t>
      </w:r>
    </w:p>
    <w:p w14:paraId="5068E77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5E6279D3">
          <v:rect id="_x0000_i1033" style="width:0;height:1.5pt" o:hralign="center" o:hrstd="t" o:hr="t" fillcolor="#a0a0a0" stroked="f"/>
        </w:pict>
      </w:r>
    </w:p>
    <w:p w14:paraId="63845549"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9. Honest verdict — strong pain, contested theory of change, beatable competitors, hard distribution</w:t>
      </w:r>
    </w:p>
    <w:p w14:paraId="66C8ACEE"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lastRenderedPageBreak/>
        <w:t>9.1 Where the thesis is strong</w:t>
      </w:r>
    </w:p>
    <w:p w14:paraId="3B9F1761"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pain is real, broad, deep and currently mis-served. Financial literacy in SA is genuinely weak (52/100 composite; 25% inflation literacy). Downstream consequences are quantifiable (36% credit-impaired; 6% retirement-ready; R43.4bn two-pot withdrawals). Demand for plain-language financial explanation is proven (952,403 SARS calculator hits; EasyEquities at 2.6M registered; Financial Bunny at 840k followers; stokvels at 11M members). The international gamified-financial-literacy space has not been localised to SA. The behavioural science contains a legitimate narrow path — rules of thumb, just-in-time delivery, commitment devices — that has empirical support and is not yet built locally.</w:t>
      </w:r>
    </w:p>
    <w:p w14:paraId="6150B3C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9.2 Where the thesis is weak or wrong</w:t>
      </w:r>
    </w:p>
    <w:p w14:paraId="700F08A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The "Duolingo for finance for South Africa" framing is academically unsupported in its naïve form: Fernandes et al. (2014)'s 0.1% variance finding will be the first slide thrown back at any investor pitch. The Duolingo mechanic is not the alpha — Duolingo's alpha is brand, distribution, and capital, none of which Fundi has. The 18–35 ICP is contradicted by the two-pot demographics and the youth unemployment data. The "Fundi" brand collides with a R10bn+ incumbent. The founder's Liberty status creates trust and FAIS-licensing tension that must be designed for. The competitive landscape is more crowded than the founder may believe — Capitec MoneyUp Academy already ships exactly what's proposed to 13M app users, and Discovery Vitality Money is a more sophisticated behavioural-finance product than anything Fundi is likely to build pre-Series A.</w:t>
      </w:r>
    </w:p>
    <w:p w14:paraId="0BCBE38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9.3 The minimum viable thesis the evidence supports</w:t>
      </w:r>
    </w:p>
    <w:p w14:paraId="27E5A637"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A South African mobile product that:</w:t>
      </w:r>
    </w:p>
    <w:p w14:paraId="3026477A"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Targets working professionals 28–45 facing a specific high-stakes financial moment (two-pot, debt review, first child, retrenchment, divorce);</w:t>
      </w:r>
    </w:p>
    <w:p w14:paraId="4790CF56"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Teaches a small set of validated heuristics in plain language, optionally vernacular;</w:t>
      </w:r>
    </w:p>
    <w:p w14:paraId="196F030A"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Delivers content at teachable moments via push, WhatsApp, and short low-data sessions;</w:t>
      </w:r>
    </w:p>
    <w:p w14:paraId="52D46695"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Bundles every lesson with a commitment device (goal, automated rule, savings transfer, calendar prompt);</w:t>
      </w:r>
    </w:p>
    <w:p w14:paraId="397034B3"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Uses XP/streaks as </w:t>
      </w:r>
      <w:r w:rsidRPr="004000BC">
        <w:rPr>
          <w:rFonts w:ascii="Times New Roman" w:eastAsia="Times New Roman" w:hAnsi="Times New Roman" w:cs="Times New Roman"/>
          <w:i/>
          <w:iCs/>
          <w:kern w:val="0"/>
          <w:lang w:eastAsia="en-GB"/>
          <w14:ligatures w14:val="none"/>
        </w:rPr>
        <w:t>informational</w:t>
      </w:r>
      <w:r w:rsidRPr="004000BC">
        <w:rPr>
          <w:rFonts w:ascii="Times New Roman" w:eastAsia="Times New Roman" w:hAnsi="Times New Roman" w:cs="Times New Roman"/>
          <w:kern w:val="0"/>
          <w:lang w:eastAsia="en-GB"/>
          <w14:ligatures w14:val="none"/>
        </w:rPr>
        <w:t xml:space="preserve"> mastery feedback with forgiveness mechanisms, not as the core value loop;</w:t>
      </w:r>
    </w:p>
    <w:p w14:paraId="20A29750"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Distributes primarily through employer wellness, retirement-fund administrator, and bank partnerships, with B2C as secondary;</w:t>
      </w:r>
    </w:p>
    <w:p w14:paraId="18939B33"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Operates under explicit FSP infrastructure with transparent disclosure of the founder's Liberty status;</w:t>
      </w:r>
    </w:p>
    <w:p w14:paraId="71B5C3C6" w14:textId="77777777" w:rsidR="004000BC" w:rsidRPr="004000BC" w:rsidRDefault="004000BC" w:rsidP="004000B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Trades under a name that does not collide with Fundi Capital.</w:t>
      </w:r>
    </w:p>
    <w:p w14:paraId="6524715F"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This is a defensible product with measurable academic backing and a realistic R80M ARR Base case by Year 3. It is also a </w:t>
      </w:r>
      <w:r w:rsidRPr="004000BC">
        <w:rPr>
          <w:rFonts w:ascii="Times New Roman" w:eastAsia="Times New Roman" w:hAnsi="Times New Roman" w:cs="Times New Roman"/>
          <w:i/>
          <w:iCs/>
          <w:kern w:val="0"/>
          <w:lang w:eastAsia="en-GB"/>
          <w14:ligatures w14:val="none"/>
        </w:rPr>
        <w:t>substantially narrower and harder</w:t>
      </w:r>
      <w:r w:rsidRPr="004000BC">
        <w:rPr>
          <w:rFonts w:ascii="Times New Roman" w:eastAsia="Times New Roman" w:hAnsi="Times New Roman" w:cs="Times New Roman"/>
          <w:kern w:val="0"/>
          <w:lang w:eastAsia="en-GB"/>
          <w14:ligatures w14:val="none"/>
        </w:rPr>
        <w:t xml:space="preserve"> product than "Duolingo for finance, 18–35, micro-lessons, XP and streaks."</w:t>
      </w:r>
    </w:p>
    <w:p w14:paraId="421E3FAD"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9.4 The single most important question for the founder to answer next</w:t>
      </w:r>
    </w:p>
    <w:p w14:paraId="1D7D947C"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b/>
          <w:bCs/>
          <w:kern w:val="0"/>
          <w:lang w:eastAsia="en-GB"/>
          <w14:ligatures w14:val="none"/>
        </w:rPr>
        <w:lastRenderedPageBreak/>
        <w:t xml:space="preserve">What does a paying user </w:t>
      </w:r>
      <w:r w:rsidRPr="004000BC">
        <w:rPr>
          <w:rFonts w:ascii="Times New Roman" w:eastAsia="Times New Roman" w:hAnsi="Times New Roman" w:cs="Times New Roman"/>
          <w:b/>
          <w:bCs/>
          <w:i/>
          <w:iCs/>
          <w:kern w:val="0"/>
          <w:lang w:eastAsia="en-GB"/>
          <w14:ligatures w14:val="none"/>
        </w:rPr>
        <w:t>do differently</w:t>
      </w:r>
      <w:r w:rsidRPr="004000BC">
        <w:rPr>
          <w:rFonts w:ascii="Times New Roman" w:eastAsia="Times New Roman" w:hAnsi="Times New Roman" w:cs="Times New Roman"/>
          <w:b/>
          <w:bCs/>
          <w:kern w:val="0"/>
          <w:lang w:eastAsia="en-GB"/>
          <w14:ligatures w14:val="none"/>
        </w:rPr>
        <w:t xml:space="preserve"> after using Fundi for 90 days that they would not have done without it, and how will you measure it?</w:t>
      </w:r>
      <w:r w:rsidRPr="004000BC">
        <w:rPr>
          <w:rFonts w:ascii="Times New Roman" w:eastAsia="Times New Roman" w:hAnsi="Times New Roman" w:cs="Times New Roman"/>
          <w:kern w:val="0"/>
          <w:lang w:eastAsia="en-GB"/>
          <w14:ligatures w14:val="none"/>
        </w:rPr>
        <w:t xml:space="preserve"> If the answer is "they complete more lessons and maintain longer streaks," the evidence says the product is a vanity-metrics machine. If the answer is "they made one specific behavioural change at one specific teachable moment that we can verify in their bank, retirement-fund, or credit-bureau data," then there is a defensible product here. Building backward from that measurement determines product design, ICP, monetisation and pitch positioning. Without it, Fundi is the 23rd South African financial-literacy attempt to repeat the 22seven trajectory with less capital.</w:t>
      </w:r>
    </w:p>
    <w:p w14:paraId="75B61B35" w14:textId="77777777" w:rsidR="004000BC" w:rsidRPr="004000BC" w:rsidRDefault="004000BC" w:rsidP="004000BC">
      <w:pPr>
        <w:spacing w:after="0"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pict w14:anchorId="02E8882B">
          <v:rect id="_x0000_i1034" style="width:0;height:1.5pt" o:hralign="center" o:hrstd="t" o:hr="t" fillcolor="#a0a0a0" stroked="f"/>
        </w:pict>
      </w:r>
    </w:p>
    <w:p w14:paraId="663EA900" w14:textId="77777777" w:rsidR="004000BC" w:rsidRPr="004000BC" w:rsidRDefault="004000BC" w:rsidP="00400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0BC">
        <w:rPr>
          <w:rFonts w:ascii="Times New Roman" w:eastAsia="Times New Roman" w:hAnsi="Times New Roman" w:cs="Times New Roman"/>
          <w:b/>
          <w:bCs/>
          <w:kern w:val="0"/>
          <w:sz w:val="36"/>
          <w:szCs w:val="36"/>
          <w:lang w:eastAsia="en-GB"/>
          <w14:ligatures w14:val="none"/>
        </w:rPr>
        <w:t>10. Full references</w:t>
      </w:r>
    </w:p>
    <w:p w14:paraId="0CE662A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Primary surveys and government / regulatory sources</w:t>
      </w:r>
    </w:p>
    <w:p w14:paraId="7D6391F5"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Financial Sector Conduct Authority. </w:t>
      </w:r>
      <w:r w:rsidRPr="004000BC">
        <w:rPr>
          <w:rFonts w:ascii="Times New Roman" w:eastAsia="Times New Roman" w:hAnsi="Times New Roman" w:cs="Times New Roman"/>
          <w:i/>
          <w:iCs/>
          <w:kern w:val="0"/>
          <w:lang w:eastAsia="en-GB"/>
          <w14:ligatures w14:val="none"/>
        </w:rPr>
        <w:t>FSCA Press Release on 2020 Baseline Survey</w:t>
      </w:r>
      <w:r w:rsidRPr="004000BC">
        <w:rPr>
          <w:rFonts w:ascii="Times New Roman" w:eastAsia="Times New Roman" w:hAnsi="Times New Roman" w:cs="Times New Roman"/>
          <w:kern w:val="0"/>
          <w:lang w:eastAsia="en-GB"/>
          <w14:ligatures w14:val="none"/>
        </w:rPr>
        <w:t>, 28 July 2022. fsca.co.za/News%20Documents/FSCA%20Press%20Release%20-%20The%20FSCA%20launches%20baseline%20survey%20results%20on%20financial%20literacy%20in%20SA%20%2028%20July%202022.pdf</w:t>
      </w:r>
    </w:p>
    <w:p w14:paraId="6FE3566B"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FSCA. </w:t>
      </w:r>
      <w:r w:rsidRPr="004000BC">
        <w:rPr>
          <w:rFonts w:ascii="Times New Roman" w:eastAsia="Times New Roman" w:hAnsi="Times New Roman" w:cs="Times New Roman"/>
          <w:i/>
          <w:iCs/>
          <w:kern w:val="0"/>
          <w:lang w:eastAsia="en-GB"/>
          <w14:ligatures w14:val="none"/>
        </w:rPr>
        <w:t>Statement on Consumer Vulnerability</w:t>
      </w:r>
      <w:r w:rsidRPr="004000BC">
        <w:rPr>
          <w:rFonts w:ascii="Times New Roman" w:eastAsia="Times New Roman" w:hAnsi="Times New Roman" w:cs="Times New Roman"/>
          <w:kern w:val="0"/>
          <w:lang w:eastAsia="en-GB"/>
          <w14:ligatures w14:val="none"/>
        </w:rPr>
        <w:t>, March 2024. masthead.co.za/wp-content/uploads/2024/03/FSCA-Statement-on-Consumer-Vulnerability_PUBLISHED.pdf</w:t>
      </w:r>
    </w:p>
    <w:p w14:paraId="7F772ECB"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Roberts, B., Struwig, J., Gordon, S. &amp; Zondi, T. (2021). </w:t>
      </w:r>
      <w:r w:rsidRPr="004000BC">
        <w:rPr>
          <w:rFonts w:ascii="Times New Roman" w:eastAsia="Times New Roman" w:hAnsi="Times New Roman" w:cs="Times New Roman"/>
          <w:i/>
          <w:iCs/>
          <w:kern w:val="0"/>
          <w:lang w:eastAsia="en-GB"/>
          <w14:ligatures w14:val="none"/>
        </w:rPr>
        <w:t>Financial Literacy in South Africa: Results from the 2020 Baseline Survey</w:t>
      </w:r>
      <w:r w:rsidRPr="004000BC">
        <w:rPr>
          <w:rFonts w:ascii="Times New Roman" w:eastAsia="Times New Roman" w:hAnsi="Times New Roman" w:cs="Times New Roman"/>
          <w:kern w:val="0"/>
          <w:lang w:eastAsia="en-GB"/>
          <w14:ligatures w14:val="none"/>
        </w:rPr>
        <w:t>. HSRC for FSCA. fscamymoney.co.za/Research%20Documents/Financial%20Literacy%20in%20South%20Africa%20Results%20from%20the%202020%20Baseline%20Survey.pdf</w:t>
      </w:r>
    </w:p>
    <w:p w14:paraId="1A4B1F8E"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HSRC repository: repository.hsrc.ac.za/handle/20.500.11910/19334</w:t>
      </w:r>
    </w:p>
    <w:p w14:paraId="4F063D29"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Klapper, L., Lusardi, A. &amp; Van Oudheusden, P. (2015). </w:t>
      </w:r>
      <w:r w:rsidRPr="004000BC">
        <w:rPr>
          <w:rFonts w:ascii="Times New Roman" w:eastAsia="Times New Roman" w:hAnsi="Times New Roman" w:cs="Times New Roman"/>
          <w:i/>
          <w:iCs/>
          <w:kern w:val="0"/>
          <w:lang w:eastAsia="en-GB"/>
          <w14:ligatures w14:val="none"/>
        </w:rPr>
        <w:t>Financial Literacy Around the World: Insights from the S&amp;P Global FinLit Survey</w:t>
      </w:r>
      <w:r w:rsidRPr="004000BC">
        <w:rPr>
          <w:rFonts w:ascii="Times New Roman" w:eastAsia="Times New Roman" w:hAnsi="Times New Roman" w:cs="Times New Roman"/>
          <w:kern w:val="0"/>
          <w:lang w:eastAsia="en-GB"/>
          <w14:ligatures w14:val="none"/>
        </w:rPr>
        <w:t>. GFLEC. gflec.org/wp-content/uploads/2015/11/3313-Finlit_Report_FINAL-5.11.16.pdf</w:t>
      </w:r>
    </w:p>
    <w:p w14:paraId="3D653F09"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Nanziri, L. &amp; Olckers, M. (2019). </w:t>
      </w:r>
      <w:r w:rsidRPr="004000BC">
        <w:rPr>
          <w:rFonts w:ascii="Times New Roman" w:eastAsia="Times New Roman" w:hAnsi="Times New Roman" w:cs="Times New Roman"/>
          <w:i/>
          <w:iCs/>
          <w:kern w:val="0"/>
          <w:lang w:eastAsia="en-GB"/>
          <w14:ligatures w14:val="none"/>
        </w:rPr>
        <w:t>Financial Literacy in South Africa</w:t>
      </w:r>
      <w:r w:rsidRPr="004000BC">
        <w:rPr>
          <w:rFonts w:ascii="Times New Roman" w:eastAsia="Times New Roman" w:hAnsi="Times New Roman" w:cs="Times New Roman"/>
          <w:kern w:val="0"/>
          <w:lang w:eastAsia="en-GB"/>
          <w14:ligatures w14:val="none"/>
        </w:rPr>
        <w:t xml:space="preserve"> (NIDS Wave 5). SALDRU, UCT. saldru.uct.ac.za/sites/default/files/media/documents/2019-09-nidsw5.pdf</w:t>
      </w:r>
    </w:p>
    <w:p w14:paraId="703020BF"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OECD (2023). </w:t>
      </w:r>
      <w:r w:rsidRPr="004000BC">
        <w:rPr>
          <w:rFonts w:ascii="Times New Roman" w:eastAsia="Times New Roman" w:hAnsi="Times New Roman" w:cs="Times New Roman"/>
          <w:i/>
          <w:iCs/>
          <w:kern w:val="0"/>
          <w:lang w:eastAsia="en-GB"/>
          <w14:ligatures w14:val="none"/>
        </w:rPr>
        <w:t>OECD/INFE 2023 International Survey of Adult Financial Literacy</w:t>
      </w:r>
      <w:r w:rsidRPr="004000BC">
        <w:rPr>
          <w:rFonts w:ascii="Times New Roman" w:eastAsia="Times New Roman" w:hAnsi="Times New Roman" w:cs="Times New Roman"/>
          <w:kern w:val="0"/>
          <w:lang w:eastAsia="en-GB"/>
          <w14:ligatures w14:val="none"/>
        </w:rPr>
        <w:t>, Business and Finance Policy Papers No. 39. oecd.org/en/publications/oecd-infe-2023-international-survey-of-adult-financial-literacy_56003a32-en.html</w:t>
      </w:r>
    </w:p>
    <w:p w14:paraId="01652F7C"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World Bank (2022). </w:t>
      </w:r>
      <w:r w:rsidRPr="004000BC">
        <w:rPr>
          <w:rFonts w:ascii="Times New Roman" w:eastAsia="Times New Roman" w:hAnsi="Times New Roman" w:cs="Times New Roman"/>
          <w:i/>
          <w:iCs/>
          <w:kern w:val="0"/>
          <w:lang w:eastAsia="en-GB"/>
          <w14:ligatures w14:val="none"/>
        </w:rPr>
        <w:t>The Global Findex Database 2021</w:t>
      </w:r>
      <w:r w:rsidRPr="004000BC">
        <w:rPr>
          <w:rFonts w:ascii="Times New Roman" w:eastAsia="Times New Roman" w:hAnsi="Times New Roman" w:cs="Times New Roman"/>
          <w:kern w:val="0"/>
          <w:lang w:eastAsia="en-GB"/>
          <w14:ligatures w14:val="none"/>
        </w:rPr>
        <w:t>. worldbank.org/en/publication/globalfindex</w:t>
      </w:r>
    </w:p>
    <w:p w14:paraId="21DB5156"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South African Reserve Bank. </w:t>
      </w:r>
      <w:r w:rsidRPr="004000BC">
        <w:rPr>
          <w:rFonts w:ascii="Times New Roman" w:eastAsia="Times New Roman" w:hAnsi="Times New Roman" w:cs="Times New Roman"/>
          <w:i/>
          <w:iCs/>
          <w:kern w:val="0"/>
          <w:lang w:eastAsia="en-GB"/>
          <w14:ligatures w14:val="none"/>
        </w:rPr>
        <w:t>Quarterly Bulletin — March 2025</w:t>
      </w:r>
      <w:r w:rsidRPr="004000BC">
        <w:rPr>
          <w:rFonts w:ascii="Times New Roman" w:eastAsia="Times New Roman" w:hAnsi="Times New Roman" w:cs="Times New Roman"/>
          <w:kern w:val="0"/>
          <w:lang w:eastAsia="en-GB"/>
          <w14:ligatures w14:val="none"/>
        </w:rPr>
        <w:t xml:space="preserve"> (Q4 2024 household debt data). resbank.co.za</w:t>
      </w:r>
    </w:p>
    <w:p w14:paraId="75CC06F0"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National Credit Regulator. </w:t>
      </w:r>
      <w:r w:rsidRPr="004000BC">
        <w:rPr>
          <w:rFonts w:ascii="Times New Roman" w:eastAsia="Times New Roman" w:hAnsi="Times New Roman" w:cs="Times New Roman"/>
          <w:i/>
          <w:iCs/>
          <w:kern w:val="0"/>
          <w:lang w:eastAsia="en-GB"/>
          <w14:ligatures w14:val="none"/>
        </w:rPr>
        <w:t>Credit Bureau Monitor Q3 2024</w:t>
      </w:r>
      <w:r w:rsidRPr="004000BC">
        <w:rPr>
          <w:rFonts w:ascii="Times New Roman" w:eastAsia="Times New Roman" w:hAnsi="Times New Roman" w:cs="Times New Roman"/>
          <w:kern w:val="0"/>
          <w:lang w:eastAsia="en-GB"/>
          <w14:ligatures w14:val="none"/>
        </w:rPr>
        <w:t>. ncr.org.za/documents/CBM/CBM%20Q3%202024..pdf</w:t>
      </w:r>
    </w:p>
    <w:p w14:paraId="2F332175"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South African Revenue Service. </w:t>
      </w:r>
      <w:r w:rsidRPr="004000BC">
        <w:rPr>
          <w:rFonts w:ascii="Times New Roman" w:eastAsia="Times New Roman" w:hAnsi="Times New Roman" w:cs="Times New Roman"/>
          <w:i/>
          <w:iCs/>
          <w:kern w:val="0"/>
          <w:lang w:eastAsia="en-GB"/>
          <w14:ligatures w14:val="none"/>
        </w:rPr>
        <w:t>Media Release: More than 2 million taxpayers withdraw from their savings pot</w:t>
      </w:r>
      <w:r w:rsidRPr="004000BC">
        <w:rPr>
          <w:rFonts w:ascii="Times New Roman" w:eastAsia="Times New Roman" w:hAnsi="Times New Roman" w:cs="Times New Roman"/>
          <w:kern w:val="0"/>
          <w:lang w:eastAsia="en-GB"/>
          <w14:ligatures w14:val="none"/>
        </w:rPr>
        <w:t>, 31 January 2025. sars.gov.za/latest-news/media-release-more-than-2-million-taxpayers-withdraw-from-their-savings-pot</w:t>
      </w:r>
    </w:p>
    <w:p w14:paraId="579755C0"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SARS / National Treasury. </w:t>
      </w:r>
      <w:r w:rsidRPr="004000BC">
        <w:rPr>
          <w:rFonts w:ascii="Times New Roman" w:eastAsia="Times New Roman" w:hAnsi="Times New Roman" w:cs="Times New Roman"/>
          <w:i/>
          <w:iCs/>
          <w:kern w:val="0"/>
          <w:lang w:eastAsia="en-GB"/>
          <w14:ligatures w14:val="none"/>
        </w:rPr>
        <w:t>18th Annual Tax Statistics</w:t>
      </w:r>
      <w:r w:rsidRPr="004000BC">
        <w:rPr>
          <w:rFonts w:ascii="Times New Roman" w:eastAsia="Times New Roman" w:hAnsi="Times New Roman" w:cs="Times New Roman"/>
          <w:kern w:val="0"/>
          <w:lang w:eastAsia="en-GB"/>
          <w14:ligatures w14:val="none"/>
        </w:rPr>
        <w:t>, 5 December 2025. sars.gov.za</w:t>
      </w:r>
    </w:p>
    <w:p w14:paraId="63C19531"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Statistics South Africa. </w:t>
      </w:r>
      <w:r w:rsidRPr="004000BC">
        <w:rPr>
          <w:rFonts w:ascii="Times New Roman" w:eastAsia="Times New Roman" w:hAnsi="Times New Roman" w:cs="Times New Roman"/>
          <w:i/>
          <w:iCs/>
          <w:kern w:val="0"/>
          <w:lang w:eastAsia="en-GB"/>
          <w14:ligatures w14:val="none"/>
        </w:rPr>
        <w:t>Mid-year Population Estimates 2024</w:t>
      </w:r>
      <w:r w:rsidRPr="004000BC">
        <w:rPr>
          <w:rFonts w:ascii="Times New Roman" w:eastAsia="Times New Roman" w:hAnsi="Times New Roman" w:cs="Times New Roman"/>
          <w:kern w:val="0"/>
          <w:lang w:eastAsia="en-GB"/>
          <w14:ligatures w14:val="none"/>
        </w:rPr>
        <w:t>, P0302. statssa.gov.za/publications/P0302/P03022024.pdf</w:t>
      </w:r>
    </w:p>
    <w:p w14:paraId="14856EF7"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Stats SA. </w:t>
      </w:r>
      <w:r w:rsidRPr="004000BC">
        <w:rPr>
          <w:rFonts w:ascii="Times New Roman" w:eastAsia="Times New Roman" w:hAnsi="Times New Roman" w:cs="Times New Roman"/>
          <w:i/>
          <w:iCs/>
          <w:kern w:val="0"/>
          <w:lang w:eastAsia="en-GB"/>
          <w14:ligatures w14:val="none"/>
        </w:rPr>
        <w:t>Mid-year Population Estimates 2024 Presentation</w:t>
      </w:r>
      <w:r w:rsidRPr="004000BC">
        <w:rPr>
          <w:rFonts w:ascii="Times New Roman" w:eastAsia="Times New Roman" w:hAnsi="Times New Roman" w:cs="Times New Roman"/>
          <w:kern w:val="0"/>
          <w:lang w:eastAsia="en-GB"/>
          <w14:ligatures w14:val="none"/>
        </w:rPr>
        <w:t>. statssa.gov.za/publications/P0302/MYPE%20Presentation%202024.pdf</w:t>
      </w:r>
    </w:p>
    <w:p w14:paraId="5DFEBE5D"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w:t>
      </w:r>
      <w:r w:rsidRPr="004000BC">
        <w:rPr>
          <w:rFonts w:ascii="Times New Roman" w:eastAsia="Times New Roman" w:hAnsi="Times New Roman" w:cs="Times New Roman"/>
          <w:i/>
          <w:iCs/>
          <w:kern w:val="0"/>
          <w:lang w:eastAsia="en-GB"/>
          <w14:ligatures w14:val="none"/>
        </w:rPr>
        <w:t>Quarterly Labour Force Survey Q4:2024</w:t>
      </w:r>
      <w:r w:rsidRPr="004000BC">
        <w:rPr>
          <w:rFonts w:ascii="Times New Roman" w:eastAsia="Times New Roman" w:hAnsi="Times New Roman" w:cs="Times New Roman"/>
          <w:kern w:val="0"/>
          <w:lang w:eastAsia="en-GB"/>
          <w14:ligatures w14:val="none"/>
        </w:rPr>
        <w:t>, P0211. statssa.gov.za/publications/P0211/P02114thQuarter2024.pdf</w:t>
      </w:r>
    </w:p>
    <w:p w14:paraId="10D9DE50"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Stats SA. </w:t>
      </w:r>
      <w:r w:rsidRPr="004000BC">
        <w:rPr>
          <w:rFonts w:ascii="Times New Roman" w:eastAsia="Times New Roman" w:hAnsi="Times New Roman" w:cs="Times New Roman"/>
          <w:i/>
          <w:iCs/>
          <w:kern w:val="0"/>
          <w:lang w:eastAsia="en-GB"/>
          <w14:ligatures w14:val="none"/>
        </w:rPr>
        <w:t>QLFS Q1:2025</w:t>
      </w:r>
      <w:r w:rsidRPr="004000BC">
        <w:rPr>
          <w:rFonts w:ascii="Times New Roman" w:eastAsia="Times New Roman" w:hAnsi="Times New Roman" w:cs="Times New Roman"/>
          <w:kern w:val="0"/>
          <w:lang w:eastAsia="en-GB"/>
          <w14:ligatures w14:val="none"/>
        </w:rPr>
        <w:t>. statssa.gov.za/publications/P0211/P02111stQuarter2025.pdf</w:t>
      </w:r>
    </w:p>
    <w:p w14:paraId="11326574"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ICASA. </w:t>
      </w:r>
      <w:r w:rsidRPr="004000BC">
        <w:rPr>
          <w:rFonts w:ascii="Times New Roman" w:eastAsia="Times New Roman" w:hAnsi="Times New Roman" w:cs="Times New Roman"/>
          <w:i/>
          <w:iCs/>
          <w:kern w:val="0"/>
          <w:lang w:eastAsia="en-GB"/>
          <w14:ligatures w14:val="none"/>
        </w:rPr>
        <w:t>2024/25 FY Q4 Bi-Annual Tariff Analysis Report</w:t>
      </w:r>
      <w:r w:rsidRPr="004000BC">
        <w:rPr>
          <w:rFonts w:ascii="Times New Roman" w:eastAsia="Times New Roman" w:hAnsi="Times New Roman" w:cs="Times New Roman"/>
          <w:kern w:val="0"/>
          <w:lang w:eastAsia="en-GB"/>
          <w14:ligatures w14:val="none"/>
        </w:rPr>
        <w:t>, 20 March 2025. icasa.org.za</w:t>
      </w:r>
    </w:p>
    <w:p w14:paraId="556AC411"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Cable.co.uk. </w:t>
      </w:r>
      <w:r w:rsidRPr="004000BC">
        <w:rPr>
          <w:rFonts w:ascii="Times New Roman" w:eastAsia="Times New Roman" w:hAnsi="Times New Roman" w:cs="Times New Roman"/>
          <w:i/>
          <w:iCs/>
          <w:kern w:val="0"/>
          <w:lang w:eastAsia="en-GB"/>
          <w14:ligatures w14:val="none"/>
        </w:rPr>
        <w:t>Worldwide Mobile Data Pricing 2023</w:t>
      </w:r>
      <w:r w:rsidRPr="004000BC">
        <w:rPr>
          <w:rFonts w:ascii="Times New Roman" w:eastAsia="Times New Roman" w:hAnsi="Times New Roman" w:cs="Times New Roman"/>
          <w:kern w:val="0"/>
          <w:lang w:eastAsia="en-GB"/>
          <w14:ligatures w14:val="none"/>
        </w:rPr>
        <w:t>. via Statista statista.com/statistics/1274035/price-for-mobile-data-in-south-africa</w:t>
      </w:r>
    </w:p>
    <w:p w14:paraId="7BF0B177"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Protection of Personal Information Act 4 of 2013 (POPIA). justice.gov.za</w:t>
      </w:r>
    </w:p>
    <w:p w14:paraId="5BD514A5" w14:textId="77777777" w:rsidR="004000BC" w:rsidRPr="004000BC" w:rsidRDefault="004000BC" w:rsidP="004000B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Financial Advisory and Intermediary Services Act 37 of 2002. gov.za/sites/default/files/gcis_document/201409/a37-020.pdf</w:t>
      </w:r>
    </w:p>
    <w:p w14:paraId="1885E5DF"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Industry and trade research</w:t>
      </w:r>
    </w:p>
    <w:p w14:paraId="63D04D03"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DataReportal / Kepios / Meltwater. </w:t>
      </w:r>
      <w:r w:rsidRPr="004000BC">
        <w:rPr>
          <w:rFonts w:ascii="Times New Roman" w:eastAsia="Times New Roman" w:hAnsi="Times New Roman" w:cs="Times New Roman"/>
          <w:i/>
          <w:iCs/>
          <w:kern w:val="0"/>
          <w:lang w:eastAsia="en-GB"/>
          <w14:ligatures w14:val="none"/>
        </w:rPr>
        <w:t>Digital 2025: South Africa</w:t>
      </w:r>
      <w:r w:rsidRPr="004000BC">
        <w:rPr>
          <w:rFonts w:ascii="Times New Roman" w:eastAsia="Times New Roman" w:hAnsi="Times New Roman" w:cs="Times New Roman"/>
          <w:kern w:val="0"/>
          <w:lang w:eastAsia="en-GB"/>
          <w14:ligatures w14:val="none"/>
        </w:rPr>
        <w:t>, January 2025. datareportal.com/reports/digital-2025-south-africa</w:t>
      </w:r>
    </w:p>
    <w:p w14:paraId="49276459"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GSMA. </w:t>
      </w:r>
      <w:r w:rsidRPr="004000BC">
        <w:rPr>
          <w:rFonts w:ascii="Times New Roman" w:eastAsia="Times New Roman" w:hAnsi="Times New Roman" w:cs="Times New Roman"/>
          <w:i/>
          <w:iCs/>
          <w:kern w:val="0"/>
          <w:lang w:eastAsia="en-GB"/>
          <w14:ligatures w14:val="none"/>
        </w:rPr>
        <w:t>The Mobile Economy Sub-Saharan Africa 2024</w:t>
      </w:r>
      <w:r w:rsidRPr="004000BC">
        <w:rPr>
          <w:rFonts w:ascii="Times New Roman" w:eastAsia="Times New Roman" w:hAnsi="Times New Roman" w:cs="Times New Roman"/>
          <w:kern w:val="0"/>
          <w:lang w:eastAsia="en-GB"/>
          <w14:ligatures w14:val="none"/>
        </w:rPr>
        <w:t>. event-assets.gsma.com/pdf/GSMA_ME_SSA_2024_Web.pdf</w:t>
      </w:r>
    </w:p>
    <w:p w14:paraId="074198A1"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FinMark Trust. </w:t>
      </w:r>
      <w:r w:rsidRPr="004000BC">
        <w:rPr>
          <w:rFonts w:ascii="Times New Roman" w:eastAsia="Times New Roman" w:hAnsi="Times New Roman" w:cs="Times New Roman"/>
          <w:i/>
          <w:iCs/>
          <w:kern w:val="0"/>
          <w:lang w:eastAsia="en-GB"/>
          <w14:ligatures w14:val="none"/>
        </w:rPr>
        <w:t>FinScope Consumer South Africa 2023</w:t>
      </w:r>
      <w:r w:rsidRPr="004000BC">
        <w:rPr>
          <w:rFonts w:ascii="Times New Roman" w:eastAsia="Times New Roman" w:hAnsi="Times New Roman" w:cs="Times New Roman"/>
          <w:kern w:val="0"/>
          <w:lang w:eastAsia="en-GB"/>
          <w14:ligatures w14:val="none"/>
        </w:rPr>
        <w:t>. finmark.org.za/Publications/FinScope_SA_Consumer_2023.pdf</w:t>
      </w:r>
    </w:p>
    <w:p w14:paraId="7A891A59"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FinMark Trust. </w:t>
      </w:r>
      <w:r w:rsidRPr="004000BC">
        <w:rPr>
          <w:rFonts w:ascii="Times New Roman" w:eastAsia="Times New Roman" w:hAnsi="Times New Roman" w:cs="Times New Roman"/>
          <w:i/>
          <w:iCs/>
          <w:kern w:val="0"/>
          <w:lang w:eastAsia="en-GB"/>
          <w14:ligatures w14:val="none"/>
        </w:rPr>
        <w:t>FinScope Consumer SA 2024</w:t>
      </w:r>
      <w:r w:rsidRPr="004000BC">
        <w:rPr>
          <w:rFonts w:ascii="Times New Roman" w:eastAsia="Times New Roman" w:hAnsi="Times New Roman" w:cs="Times New Roman"/>
          <w:kern w:val="0"/>
          <w:lang w:eastAsia="en-GB"/>
          <w14:ligatures w14:val="none"/>
        </w:rPr>
        <w:t>. finmark.org.za/knowledge-hub/articles/12-million-adults-struggle-with-debt-while-relying-on-credit-to-cope</w:t>
      </w:r>
    </w:p>
    <w:p w14:paraId="78C4BB92"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Old Mutual. </w:t>
      </w:r>
      <w:r w:rsidRPr="004000BC">
        <w:rPr>
          <w:rFonts w:ascii="Times New Roman" w:eastAsia="Times New Roman" w:hAnsi="Times New Roman" w:cs="Times New Roman"/>
          <w:i/>
          <w:iCs/>
          <w:kern w:val="0"/>
          <w:lang w:eastAsia="en-GB"/>
          <w14:ligatures w14:val="none"/>
        </w:rPr>
        <w:t>OMSIM 2024 Key Findings</w:t>
      </w:r>
      <w:r w:rsidRPr="004000BC">
        <w:rPr>
          <w:rFonts w:ascii="Times New Roman" w:eastAsia="Times New Roman" w:hAnsi="Times New Roman" w:cs="Times New Roman"/>
          <w:kern w:val="0"/>
          <w:lang w:eastAsia="en-GB"/>
          <w14:ligatures w14:val="none"/>
        </w:rPr>
        <w:t>. oldmutual.co.za/news/omsim-2024-key-findings</w:t>
      </w:r>
    </w:p>
    <w:p w14:paraId="2E5CB7D1"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w:t>
      </w:r>
      <w:r w:rsidRPr="004000BC">
        <w:rPr>
          <w:rFonts w:ascii="Times New Roman" w:eastAsia="Times New Roman" w:hAnsi="Times New Roman" w:cs="Times New Roman"/>
          <w:i/>
          <w:iCs/>
          <w:kern w:val="0"/>
          <w:lang w:eastAsia="en-GB"/>
          <w14:ligatures w14:val="none"/>
        </w:rPr>
        <w:t>Sanlam Benchmark Survey 2024 Insights</w:t>
      </w:r>
      <w:r w:rsidRPr="004000BC">
        <w:rPr>
          <w:rFonts w:ascii="Times New Roman" w:eastAsia="Times New Roman" w:hAnsi="Times New Roman" w:cs="Times New Roman"/>
          <w:kern w:val="0"/>
          <w:lang w:eastAsia="en-GB"/>
          <w14:ligatures w14:val="none"/>
        </w:rPr>
        <w:t>. sanlam.co.za/corporate/retirement/benchmarksurvey/Documents/Sanlam_Benchmark_2024_Insights.pdf</w:t>
      </w:r>
    </w:p>
    <w:p w14:paraId="3604966E"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Sanlam. </w:t>
      </w:r>
      <w:r w:rsidRPr="004000BC">
        <w:rPr>
          <w:rFonts w:ascii="Times New Roman" w:eastAsia="Times New Roman" w:hAnsi="Times New Roman" w:cs="Times New Roman"/>
          <w:i/>
          <w:iCs/>
          <w:kern w:val="0"/>
          <w:lang w:eastAsia="en-GB"/>
          <w14:ligatures w14:val="none"/>
        </w:rPr>
        <w:t>Sanlam Benchmark Survey 2025</w:t>
      </w:r>
      <w:r w:rsidRPr="004000BC">
        <w:rPr>
          <w:rFonts w:ascii="Times New Roman" w:eastAsia="Times New Roman" w:hAnsi="Times New Roman" w:cs="Times New Roman"/>
          <w:kern w:val="0"/>
          <w:lang w:eastAsia="en-GB"/>
          <w14:ligatures w14:val="none"/>
        </w:rPr>
        <w:t>. seb-news.sanlam.co.za/consultant-toolkit/sanlam-benchmark-2025-the-reality-of-south-africas-retirement-landscape</w:t>
      </w:r>
    </w:p>
    <w:p w14:paraId="690BDB11"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10X Investments. </w:t>
      </w:r>
      <w:r w:rsidRPr="004000BC">
        <w:rPr>
          <w:rFonts w:ascii="Times New Roman" w:eastAsia="Times New Roman" w:hAnsi="Times New Roman" w:cs="Times New Roman"/>
          <w:i/>
          <w:iCs/>
          <w:kern w:val="0"/>
          <w:lang w:eastAsia="en-GB"/>
          <w14:ligatures w14:val="none"/>
        </w:rPr>
        <w:t>Retirement Reality Report 2023/2024</w:t>
      </w:r>
      <w:r w:rsidRPr="004000BC">
        <w:rPr>
          <w:rFonts w:ascii="Times New Roman" w:eastAsia="Times New Roman" w:hAnsi="Times New Roman" w:cs="Times New Roman"/>
          <w:kern w:val="0"/>
          <w:lang w:eastAsia="en-GB"/>
          <w14:ligatures w14:val="none"/>
        </w:rPr>
        <w:t>. 10x.co.za/library/10x-retirement-reality-report</w:t>
      </w:r>
    </w:p>
    <w:p w14:paraId="06E0049B"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DebtBusters. </w:t>
      </w:r>
      <w:r w:rsidRPr="004000BC">
        <w:rPr>
          <w:rFonts w:ascii="Times New Roman" w:eastAsia="Times New Roman" w:hAnsi="Times New Roman" w:cs="Times New Roman"/>
          <w:i/>
          <w:iCs/>
          <w:kern w:val="0"/>
          <w:lang w:eastAsia="en-GB"/>
          <w14:ligatures w14:val="none"/>
        </w:rPr>
        <w:t>Debt Index Q4 2025</w:t>
      </w:r>
      <w:r w:rsidRPr="004000BC">
        <w:rPr>
          <w:rFonts w:ascii="Times New Roman" w:eastAsia="Times New Roman" w:hAnsi="Times New Roman" w:cs="Times New Roman"/>
          <w:kern w:val="0"/>
          <w:lang w:eastAsia="en-GB"/>
          <w14:ligatures w14:val="none"/>
        </w:rPr>
        <w:t>. southafricanbusinessmatters.co.za/debt-index-confidence-up-but-costs-outpace-income-growth</w:t>
      </w:r>
    </w:p>
    <w:p w14:paraId="5B1D5139"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Ipsos (2024). </w:t>
      </w:r>
      <w:r w:rsidRPr="004000BC">
        <w:rPr>
          <w:rFonts w:ascii="Times New Roman" w:eastAsia="Times New Roman" w:hAnsi="Times New Roman" w:cs="Times New Roman"/>
          <w:i/>
          <w:iCs/>
          <w:kern w:val="0"/>
          <w:lang w:eastAsia="en-GB"/>
          <w14:ligatures w14:val="none"/>
        </w:rPr>
        <w:t>Stokvels Remain Untapped 'Human Banks' of South Africa</w:t>
      </w:r>
      <w:r w:rsidRPr="004000BC">
        <w:rPr>
          <w:rFonts w:ascii="Times New Roman" w:eastAsia="Times New Roman" w:hAnsi="Times New Roman" w:cs="Times New Roman"/>
          <w:kern w:val="0"/>
          <w:lang w:eastAsia="en-GB"/>
          <w14:ligatures w14:val="none"/>
        </w:rPr>
        <w:t>. ipsos.com/en-za/stokvels-remain-untapped-human-banks-south-africa</w:t>
      </w:r>
    </w:p>
    <w:p w14:paraId="0EC1EA47"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NASASA. nasasa.co.za</w:t>
      </w:r>
    </w:p>
    <w:p w14:paraId="40454EDB"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CGAP. </w:t>
      </w:r>
      <w:r w:rsidRPr="004000BC">
        <w:rPr>
          <w:rFonts w:ascii="Times New Roman" w:eastAsia="Times New Roman" w:hAnsi="Times New Roman" w:cs="Times New Roman"/>
          <w:i/>
          <w:iCs/>
          <w:kern w:val="0"/>
          <w:lang w:eastAsia="en-GB"/>
          <w14:ligatures w14:val="none"/>
        </w:rPr>
        <w:t>TymeBank Case Study: The Customer Impact of Inclusive Digital Banking</w:t>
      </w:r>
      <w:r w:rsidRPr="004000BC">
        <w:rPr>
          <w:rFonts w:ascii="Times New Roman" w:eastAsia="Times New Roman" w:hAnsi="Times New Roman" w:cs="Times New Roman"/>
          <w:kern w:val="0"/>
          <w:lang w:eastAsia="en-GB"/>
          <w14:ligatures w14:val="none"/>
        </w:rPr>
        <w:t>. cgap.org/research/publication/tymebank-case-study-customer-impact-of-inclusive-digital-banking</w:t>
      </w:r>
    </w:p>
    <w:p w14:paraId="3DEEEFB7" w14:textId="77777777" w:rsidR="004000BC" w:rsidRPr="004000BC" w:rsidRDefault="004000BC" w:rsidP="004000B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World Bank. </w:t>
      </w:r>
      <w:r w:rsidRPr="004000BC">
        <w:rPr>
          <w:rFonts w:ascii="Times New Roman" w:eastAsia="Times New Roman" w:hAnsi="Times New Roman" w:cs="Times New Roman"/>
          <w:i/>
          <w:iCs/>
          <w:kern w:val="0"/>
          <w:lang w:eastAsia="en-GB"/>
          <w14:ligatures w14:val="none"/>
        </w:rPr>
        <w:t>Inclusive Digital Banking: Emerging Markets Case Studies</w:t>
      </w:r>
      <w:r w:rsidRPr="004000BC">
        <w:rPr>
          <w:rFonts w:ascii="Times New Roman" w:eastAsia="Times New Roman" w:hAnsi="Times New Roman" w:cs="Times New Roman"/>
          <w:kern w:val="0"/>
          <w:lang w:eastAsia="en-GB"/>
          <w14:ligatures w14:val="none"/>
        </w:rPr>
        <w:t>. documents1.worldbank.org/curated/en/099420002142211027</w:t>
      </w:r>
    </w:p>
    <w:p w14:paraId="126F1640"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Peer-reviewed academic literature</w:t>
      </w:r>
    </w:p>
    <w:p w14:paraId="4AB555C3"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Fernandes, D., Lynch, J. G., Jr. &amp; Netemeyer, R. G. (2014). Financial literacy, financial education, and downstream financial behaviors. </w:t>
      </w:r>
      <w:r w:rsidRPr="004000BC">
        <w:rPr>
          <w:rFonts w:ascii="Times New Roman" w:eastAsia="Times New Roman" w:hAnsi="Times New Roman" w:cs="Times New Roman"/>
          <w:i/>
          <w:iCs/>
          <w:kern w:val="0"/>
          <w:lang w:eastAsia="en-GB"/>
          <w14:ligatures w14:val="none"/>
        </w:rPr>
        <w:t>Management Science</w:t>
      </w:r>
      <w:r w:rsidRPr="004000BC">
        <w:rPr>
          <w:rFonts w:ascii="Times New Roman" w:eastAsia="Times New Roman" w:hAnsi="Times New Roman" w:cs="Times New Roman"/>
          <w:kern w:val="0"/>
          <w:lang w:eastAsia="en-GB"/>
          <w14:ligatures w14:val="none"/>
        </w:rPr>
        <w:t>, 60(8), 1861–1883. DOI: 10.1287/mnsc.2013.1849. pubsonline.informs.org/doi/10.1287/mnsc.2013.1849</w:t>
      </w:r>
    </w:p>
    <w:p w14:paraId="29A802BE"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Willis, L. E. (2008). Against financial literacy education. </w:t>
      </w:r>
      <w:r w:rsidRPr="004000BC">
        <w:rPr>
          <w:rFonts w:ascii="Times New Roman" w:eastAsia="Times New Roman" w:hAnsi="Times New Roman" w:cs="Times New Roman"/>
          <w:i/>
          <w:iCs/>
          <w:kern w:val="0"/>
          <w:lang w:eastAsia="en-GB"/>
          <w14:ligatures w14:val="none"/>
        </w:rPr>
        <w:t>Iowa Law Review</w:t>
      </w:r>
      <w:r w:rsidRPr="004000BC">
        <w:rPr>
          <w:rFonts w:ascii="Times New Roman" w:eastAsia="Times New Roman" w:hAnsi="Times New Roman" w:cs="Times New Roman"/>
          <w:kern w:val="0"/>
          <w:lang w:eastAsia="en-GB"/>
          <w14:ligatures w14:val="none"/>
        </w:rPr>
        <w:t>, 94, 197–285. SSRN: 1105384. scholarship.law.upenn.edu/faculty_scholarship/199</w:t>
      </w:r>
    </w:p>
    <w:p w14:paraId="2D7DF1E4"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Willis, L. E. (2011). The financial education fallacy. </w:t>
      </w:r>
      <w:r w:rsidRPr="004000BC">
        <w:rPr>
          <w:rFonts w:ascii="Times New Roman" w:eastAsia="Times New Roman" w:hAnsi="Times New Roman" w:cs="Times New Roman"/>
          <w:i/>
          <w:iCs/>
          <w:kern w:val="0"/>
          <w:lang w:eastAsia="en-GB"/>
          <w14:ligatures w14:val="none"/>
        </w:rPr>
        <w:t>American Economic Review</w:t>
      </w:r>
      <w:r w:rsidRPr="004000BC">
        <w:rPr>
          <w:rFonts w:ascii="Times New Roman" w:eastAsia="Times New Roman" w:hAnsi="Times New Roman" w:cs="Times New Roman"/>
          <w:kern w:val="0"/>
          <w:lang w:eastAsia="en-GB"/>
          <w14:ligatures w14:val="none"/>
        </w:rPr>
        <w:t>, 101(3), 429–434. DOI: 10.1257/aer.101.3.429</w:t>
      </w:r>
    </w:p>
    <w:p w14:paraId="53B57A83"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Hastings, J. S., Madrian, B. C. &amp; Skimmyhorn, W. L. (2013). Financial literacy, financial education, and economic outcomes. </w:t>
      </w:r>
      <w:r w:rsidRPr="004000BC">
        <w:rPr>
          <w:rFonts w:ascii="Times New Roman" w:eastAsia="Times New Roman" w:hAnsi="Times New Roman" w:cs="Times New Roman"/>
          <w:i/>
          <w:iCs/>
          <w:kern w:val="0"/>
          <w:lang w:eastAsia="en-GB"/>
          <w14:ligatures w14:val="none"/>
        </w:rPr>
        <w:t>Annual Review of Economics</w:t>
      </w:r>
      <w:r w:rsidRPr="004000BC">
        <w:rPr>
          <w:rFonts w:ascii="Times New Roman" w:eastAsia="Times New Roman" w:hAnsi="Times New Roman" w:cs="Times New Roman"/>
          <w:kern w:val="0"/>
          <w:lang w:eastAsia="en-GB"/>
          <w14:ligatures w14:val="none"/>
        </w:rPr>
        <w:t>, 5, 347–373. DOI: 10.1146/annurev-economics-082312-125807</w:t>
      </w:r>
    </w:p>
    <w:p w14:paraId="7429E6C0"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Kaiser, T. &amp; Menkhoff, L. (2017). Does financial education impact financial literacy and financial behavior, and if so, when? </w:t>
      </w:r>
      <w:r w:rsidRPr="004000BC">
        <w:rPr>
          <w:rFonts w:ascii="Times New Roman" w:eastAsia="Times New Roman" w:hAnsi="Times New Roman" w:cs="Times New Roman"/>
          <w:i/>
          <w:iCs/>
          <w:kern w:val="0"/>
          <w:lang w:eastAsia="en-GB"/>
          <w14:ligatures w14:val="none"/>
        </w:rPr>
        <w:t>The World Bank Economic Review</w:t>
      </w:r>
      <w:r w:rsidRPr="004000BC">
        <w:rPr>
          <w:rFonts w:ascii="Times New Roman" w:eastAsia="Times New Roman" w:hAnsi="Times New Roman" w:cs="Times New Roman"/>
          <w:kern w:val="0"/>
          <w:lang w:eastAsia="en-GB"/>
          <w14:ligatures w14:val="none"/>
        </w:rPr>
        <w:t>, 31(3), 611–630. DOI: 10.1093/wber/lhx018</w:t>
      </w:r>
    </w:p>
    <w:p w14:paraId="06865AED"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Kaiser, T., Lusardi, A., Menkhoff, L. &amp; Urban, C. (2022). Financial education affects financial knowledge and downstream behaviors. </w:t>
      </w:r>
      <w:r w:rsidRPr="004000BC">
        <w:rPr>
          <w:rFonts w:ascii="Times New Roman" w:eastAsia="Times New Roman" w:hAnsi="Times New Roman" w:cs="Times New Roman"/>
          <w:i/>
          <w:iCs/>
          <w:kern w:val="0"/>
          <w:lang w:eastAsia="en-GB"/>
          <w14:ligatures w14:val="none"/>
        </w:rPr>
        <w:t>Journal of Financial Economics</w:t>
      </w:r>
      <w:r w:rsidRPr="004000BC">
        <w:rPr>
          <w:rFonts w:ascii="Times New Roman" w:eastAsia="Times New Roman" w:hAnsi="Times New Roman" w:cs="Times New Roman"/>
          <w:kern w:val="0"/>
          <w:lang w:eastAsia="en-GB"/>
          <w14:ligatures w14:val="none"/>
        </w:rPr>
        <w:t>, 145(2), 255–272. DOI: 10.1016/j.jfineco.2021.09.022. nber.org/papers/w27057</w:t>
      </w:r>
    </w:p>
    <w:p w14:paraId="6B5ADD4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Kaiser, T. &amp; Lusardi, A. (2024). Financial literacy and financial education: An overview. </w:t>
      </w:r>
      <w:r w:rsidRPr="004000BC">
        <w:rPr>
          <w:rFonts w:ascii="Times New Roman" w:eastAsia="Times New Roman" w:hAnsi="Times New Roman" w:cs="Times New Roman"/>
          <w:i/>
          <w:iCs/>
          <w:kern w:val="0"/>
          <w:lang w:eastAsia="en-GB"/>
          <w14:ligatures w14:val="none"/>
        </w:rPr>
        <w:t>NBER Working Paper No. 32355</w:t>
      </w:r>
      <w:r w:rsidRPr="004000BC">
        <w:rPr>
          <w:rFonts w:ascii="Times New Roman" w:eastAsia="Times New Roman" w:hAnsi="Times New Roman" w:cs="Times New Roman"/>
          <w:kern w:val="0"/>
          <w:lang w:eastAsia="en-GB"/>
          <w14:ligatures w14:val="none"/>
        </w:rPr>
        <w:t>. DOI: 10.3386/w32355</w:t>
      </w:r>
    </w:p>
    <w:p w14:paraId="17E81349"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Cole, S., Sampson, T. &amp; Zia, B. (2011). Prices or knowledge? What drives demand for financial services in emerging markets? </w:t>
      </w:r>
      <w:r w:rsidRPr="004000BC">
        <w:rPr>
          <w:rFonts w:ascii="Times New Roman" w:eastAsia="Times New Roman" w:hAnsi="Times New Roman" w:cs="Times New Roman"/>
          <w:i/>
          <w:iCs/>
          <w:kern w:val="0"/>
          <w:lang w:eastAsia="en-GB"/>
          <w14:ligatures w14:val="none"/>
        </w:rPr>
        <w:t>The Journal of Finance</w:t>
      </w:r>
      <w:r w:rsidRPr="004000BC">
        <w:rPr>
          <w:rFonts w:ascii="Times New Roman" w:eastAsia="Times New Roman" w:hAnsi="Times New Roman" w:cs="Times New Roman"/>
          <w:kern w:val="0"/>
          <w:lang w:eastAsia="en-GB"/>
          <w14:ligatures w14:val="none"/>
        </w:rPr>
        <w:t>, 66(6), 1933–1967. DOI: 10.1111/j.1540-6261.2011.01696.x</w:t>
      </w:r>
    </w:p>
    <w:p w14:paraId="3D38A239"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Drexler, A., Fischer, G. &amp; Schoar, A. (2014). Keeping it simple: Financial literacy and rules of thumb. </w:t>
      </w:r>
      <w:r w:rsidRPr="004000BC">
        <w:rPr>
          <w:rFonts w:ascii="Times New Roman" w:eastAsia="Times New Roman" w:hAnsi="Times New Roman" w:cs="Times New Roman"/>
          <w:i/>
          <w:iCs/>
          <w:kern w:val="0"/>
          <w:lang w:eastAsia="en-GB"/>
          <w14:ligatures w14:val="none"/>
        </w:rPr>
        <w:t>American Economic Journal: Applied Economics</w:t>
      </w:r>
      <w:r w:rsidRPr="004000BC">
        <w:rPr>
          <w:rFonts w:ascii="Times New Roman" w:eastAsia="Times New Roman" w:hAnsi="Times New Roman" w:cs="Times New Roman"/>
          <w:kern w:val="0"/>
          <w:lang w:eastAsia="en-GB"/>
          <w14:ligatures w14:val="none"/>
        </w:rPr>
        <w:t>, 6(2), 1–31. DOI: 10.1257/app.6.2.1</w:t>
      </w:r>
    </w:p>
    <w:p w14:paraId="40B4423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Bruhn, M., de Souza Leão, L., Legovini, A., Marchetti, R. &amp; Zia, B. (2016). The impact of high school financial education: Evidence from a large-scale evaluation in Brazil. </w:t>
      </w:r>
      <w:r w:rsidRPr="004000BC">
        <w:rPr>
          <w:rFonts w:ascii="Times New Roman" w:eastAsia="Times New Roman" w:hAnsi="Times New Roman" w:cs="Times New Roman"/>
          <w:i/>
          <w:iCs/>
          <w:kern w:val="0"/>
          <w:lang w:eastAsia="en-GB"/>
          <w14:ligatures w14:val="none"/>
        </w:rPr>
        <w:t>American Economic Journal: Applied Economics</w:t>
      </w:r>
      <w:r w:rsidRPr="004000BC">
        <w:rPr>
          <w:rFonts w:ascii="Times New Roman" w:eastAsia="Times New Roman" w:hAnsi="Times New Roman" w:cs="Times New Roman"/>
          <w:kern w:val="0"/>
          <w:lang w:eastAsia="en-GB"/>
          <w14:ligatures w14:val="none"/>
        </w:rPr>
        <w:t>, 8(4), 256–295. DOI: 10.1257/app.20150149</w:t>
      </w:r>
    </w:p>
    <w:p w14:paraId="5E5D2C31"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Berry, J., Karlan, D. &amp; Pradhan, M. (2018). The impact of financial education for youth in Ghana. </w:t>
      </w:r>
      <w:r w:rsidRPr="004000BC">
        <w:rPr>
          <w:rFonts w:ascii="Times New Roman" w:eastAsia="Times New Roman" w:hAnsi="Times New Roman" w:cs="Times New Roman"/>
          <w:i/>
          <w:iCs/>
          <w:kern w:val="0"/>
          <w:lang w:eastAsia="en-GB"/>
          <w14:ligatures w14:val="none"/>
        </w:rPr>
        <w:t>World Development</w:t>
      </w:r>
      <w:r w:rsidRPr="004000BC">
        <w:rPr>
          <w:rFonts w:ascii="Times New Roman" w:eastAsia="Times New Roman" w:hAnsi="Times New Roman" w:cs="Times New Roman"/>
          <w:kern w:val="0"/>
          <w:lang w:eastAsia="en-GB"/>
          <w14:ligatures w14:val="none"/>
        </w:rPr>
        <w:t>, 102, 71–89. DOI: 10.1016/j.worlddev.2017.09.011</w:t>
      </w:r>
    </w:p>
    <w:p w14:paraId="37754970"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Carpena, F., Cole, S., Shapiro, J. &amp; Zia, B. (2019). The ABCs of financial education: Experimental evidence on attitudes, behavior, and cognitive biases. </w:t>
      </w:r>
      <w:r w:rsidRPr="004000BC">
        <w:rPr>
          <w:rFonts w:ascii="Times New Roman" w:eastAsia="Times New Roman" w:hAnsi="Times New Roman" w:cs="Times New Roman"/>
          <w:i/>
          <w:iCs/>
          <w:kern w:val="0"/>
          <w:lang w:eastAsia="en-GB"/>
          <w14:ligatures w14:val="none"/>
        </w:rPr>
        <w:t>Management Science</w:t>
      </w:r>
      <w:r w:rsidRPr="004000BC">
        <w:rPr>
          <w:rFonts w:ascii="Times New Roman" w:eastAsia="Times New Roman" w:hAnsi="Times New Roman" w:cs="Times New Roman"/>
          <w:kern w:val="0"/>
          <w:lang w:eastAsia="en-GB"/>
          <w14:ligatures w14:val="none"/>
        </w:rPr>
        <w:t>, 65(1), 346–369. DOI: 10.1287/mnsc.2017.2819</w:t>
      </w:r>
    </w:p>
    <w:p w14:paraId="298F2E46"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Hamari, J., Koivisto, J. &amp; Sarsa, H. (2014). Does gamification work? — A literature review of empirical studies on gamification. </w:t>
      </w:r>
      <w:r w:rsidRPr="004000BC">
        <w:rPr>
          <w:rFonts w:ascii="Times New Roman" w:eastAsia="Times New Roman" w:hAnsi="Times New Roman" w:cs="Times New Roman"/>
          <w:i/>
          <w:iCs/>
          <w:kern w:val="0"/>
          <w:lang w:eastAsia="en-GB"/>
          <w14:ligatures w14:val="none"/>
        </w:rPr>
        <w:t>Proceedings of HICSS 47</w:t>
      </w:r>
      <w:r w:rsidRPr="004000BC">
        <w:rPr>
          <w:rFonts w:ascii="Times New Roman" w:eastAsia="Times New Roman" w:hAnsi="Times New Roman" w:cs="Times New Roman"/>
          <w:kern w:val="0"/>
          <w:lang w:eastAsia="en-GB"/>
          <w14:ligatures w14:val="none"/>
        </w:rPr>
        <w:t>, 3025–3034. DOI: 10.1109/HICSS.2014.377</w:t>
      </w:r>
    </w:p>
    <w:p w14:paraId="74EEEC13"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Sailer, M. &amp; Homner, L. (2020). The gamification of learning: A meta-analysis. </w:t>
      </w:r>
      <w:r w:rsidRPr="004000BC">
        <w:rPr>
          <w:rFonts w:ascii="Times New Roman" w:eastAsia="Times New Roman" w:hAnsi="Times New Roman" w:cs="Times New Roman"/>
          <w:i/>
          <w:iCs/>
          <w:kern w:val="0"/>
          <w:lang w:eastAsia="en-GB"/>
          <w14:ligatures w14:val="none"/>
        </w:rPr>
        <w:t>Educational Psychology Review</w:t>
      </w:r>
      <w:r w:rsidRPr="004000BC">
        <w:rPr>
          <w:rFonts w:ascii="Times New Roman" w:eastAsia="Times New Roman" w:hAnsi="Times New Roman" w:cs="Times New Roman"/>
          <w:kern w:val="0"/>
          <w:lang w:eastAsia="en-GB"/>
          <w14:ligatures w14:val="none"/>
        </w:rPr>
        <w:t>, 32(1), 77–112. DOI: 10.1007/s10648-019-09498-w</w:t>
      </w:r>
    </w:p>
    <w:p w14:paraId="0CE37B0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Hanus, M. D. &amp; Fox, J. (2015). Assessing the effects of gamification in the classroom. </w:t>
      </w:r>
      <w:r w:rsidRPr="004000BC">
        <w:rPr>
          <w:rFonts w:ascii="Times New Roman" w:eastAsia="Times New Roman" w:hAnsi="Times New Roman" w:cs="Times New Roman"/>
          <w:i/>
          <w:iCs/>
          <w:kern w:val="0"/>
          <w:lang w:eastAsia="en-GB"/>
          <w14:ligatures w14:val="none"/>
        </w:rPr>
        <w:t>Computers &amp; Education</w:t>
      </w:r>
      <w:r w:rsidRPr="004000BC">
        <w:rPr>
          <w:rFonts w:ascii="Times New Roman" w:eastAsia="Times New Roman" w:hAnsi="Times New Roman" w:cs="Times New Roman"/>
          <w:kern w:val="0"/>
          <w:lang w:eastAsia="en-GB"/>
          <w14:ligatures w14:val="none"/>
        </w:rPr>
        <w:t>, 80, 152–161. DOI: 10.1016/j.compedu.2014.08.019</w:t>
      </w:r>
    </w:p>
    <w:p w14:paraId="0DF3AB90"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Iterbeke, K. &amp; De Witte, K. (2024). The impact of an online game-based financial education course: Multi-country experimental evidence. </w:t>
      </w:r>
      <w:r w:rsidRPr="004000BC">
        <w:rPr>
          <w:rFonts w:ascii="Times New Roman" w:eastAsia="Times New Roman" w:hAnsi="Times New Roman" w:cs="Times New Roman"/>
          <w:i/>
          <w:iCs/>
          <w:kern w:val="0"/>
          <w:lang w:eastAsia="en-GB"/>
          <w14:ligatures w14:val="none"/>
        </w:rPr>
        <w:t>Journal of Comparative Economics</w:t>
      </w:r>
      <w:r w:rsidRPr="004000BC">
        <w:rPr>
          <w:rFonts w:ascii="Times New Roman" w:eastAsia="Times New Roman" w:hAnsi="Times New Roman" w:cs="Times New Roman"/>
          <w:kern w:val="0"/>
          <w:lang w:eastAsia="en-GB"/>
          <w14:ligatures w14:val="none"/>
        </w:rPr>
        <w:t>, 52(4), 825–847. DOI: 10.1016/j.jce.2024.06.001</w:t>
      </w:r>
    </w:p>
    <w:p w14:paraId="58097BFE"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Deci, E. L., Koestner, R. &amp; Ryan, R. M. (1999). A meta-analytic review of experiments examining the effects of extrinsic rewards on intrinsic motivation. </w:t>
      </w:r>
      <w:r w:rsidRPr="004000BC">
        <w:rPr>
          <w:rFonts w:ascii="Times New Roman" w:eastAsia="Times New Roman" w:hAnsi="Times New Roman" w:cs="Times New Roman"/>
          <w:i/>
          <w:iCs/>
          <w:kern w:val="0"/>
          <w:lang w:eastAsia="en-GB"/>
          <w14:ligatures w14:val="none"/>
        </w:rPr>
        <w:t>Psychological Bulletin</w:t>
      </w:r>
      <w:r w:rsidRPr="004000BC">
        <w:rPr>
          <w:rFonts w:ascii="Times New Roman" w:eastAsia="Times New Roman" w:hAnsi="Times New Roman" w:cs="Times New Roman"/>
          <w:kern w:val="0"/>
          <w:lang w:eastAsia="en-GB"/>
          <w14:ligatures w14:val="none"/>
        </w:rPr>
        <w:t>, 125(6), 627–668. DOI: 10.1037/0033-2909.125.6.627</w:t>
      </w:r>
    </w:p>
    <w:p w14:paraId="7EE6A074"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Lepper, M. R., Greene, D. &amp; Nisbett, R. E. (1973). Undermining children's intrinsic interest with extrinsic reward. </w:t>
      </w:r>
      <w:r w:rsidRPr="004000BC">
        <w:rPr>
          <w:rFonts w:ascii="Times New Roman" w:eastAsia="Times New Roman" w:hAnsi="Times New Roman" w:cs="Times New Roman"/>
          <w:i/>
          <w:iCs/>
          <w:kern w:val="0"/>
          <w:lang w:eastAsia="en-GB"/>
          <w14:ligatures w14:val="none"/>
        </w:rPr>
        <w:t>Journal of Personality and Social Psychology</w:t>
      </w:r>
      <w:r w:rsidRPr="004000BC">
        <w:rPr>
          <w:rFonts w:ascii="Times New Roman" w:eastAsia="Times New Roman" w:hAnsi="Times New Roman" w:cs="Times New Roman"/>
          <w:kern w:val="0"/>
          <w:lang w:eastAsia="en-GB"/>
          <w14:ligatures w14:val="none"/>
        </w:rPr>
        <w:t>, 28(1), 129–137. DOI: 10.1037/h0035519</w:t>
      </w:r>
    </w:p>
    <w:p w14:paraId="70A67288"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Kahneman, D. &amp; Tversky, A. (1979). Prospect theory: An analysis of decision under risk. </w:t>
      </w:r>
      <w:r w:rsidRPr="004000BC">
        <w:rPr>
          <w:rFonts w:ascii="Times New Roman" w:eastAsia="Times New Roman" w:hAnsi="Times New Roman" w:cs="Times New Roman"/>
          <w:i/>
          <w:iCs/>
          <w:kern w:val="0"/>
          <w:lang w:eastAsia="en-GB"/>
          <w14:ligatures w14:val="none"/>
        </w:rPr>
        <w:t>Econometrica</w:t>
      </w:r>
      <w:r w:rsidRPr="004000BC">
        <w:rPr>
          <w:rFonts w:ascii="Times New Roman" w:eastAsia="Times New Roman" w:hAnsi="Times New Roman" w:cs="Times New Roman"/>
          <w:kern w:val="0"/>
          <w:lang w:eastAsia="en-GB"/>
          <w14:ligatures w14:val="none"/>
        </w:rPr>
        <w:t>, 47(2), 263–291. DOI: 10.2307/1914185</w:t>
      </w:r>
    </w:p>
    <w:p w14:paraId="3C84B6EE"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Fogg, B. J. (2009). A behavior model for persuasive design. </w:t>
      </w:r>
      <w:r w:rsidRPr="004000BC">
        <w:rPr>
          <w:rFonts w:ascii="Times New Roman" w:eastAsia="Times New Roman" w:hAnsi="Times New Roman" w:cs="Times New Roman"/>
          <w:i/>
          <w:iCs/>
          <w:kern w:val="0"/>
          <w:lang w:eastAsia="en-GB"/>
          <w14:ligatures w14:val="none"/>
        </w:rPr>
        <w:t>Proceedings of Persuasive '09</w:t>
      </w:r>
      <w:r w:rsidRPr="004000BC">
        <w:rPr>
          <w:rFonts w:ascii="Times New Roman" w:eastAsia="Times New Roman" w:hAnsi="Times New Roman" w:cs="Times New Roman"/>
          <w:kern w:val="0"/>
          <w:lang w:eastAsia="en-GB"/>
          <w14:ligatures w14:val="none"/>
        </w:rPr>
        <w:t>. DOI: 10.1145/1541948.1541999</w:t>
      </w:r>
    </w:p>
    <w:p w14:paraId="4A6A951D"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Loewen, S., Crowther, D., Isbell, D. R., Kim, K. M., Maloney, J., Miller, Z. F. &amp; Rawal, H. (2020). Mobile-assisted language learning: A Duolingo case study. </w:t>
      </w:r>
      <w:r w:rsidRPr="004000BC">
        <w:rPr>
          <w:rFonts w:ascii="Times New Roman" w:eastAsia="Times New Roman" w:hAnsi="Times New Roman" w:cs="Times New Roman"/>
          <w:i/>
          <w:iCs/>
          <w:kern w:val="0"/>
          <w:lang w:eastAsia="en-GB"/>
          <w14:ligatures w14:val="none"/>
        </w:rPr>
        <w:t>Foreign Language Annals</w:t>
      </w:r>
      <w:r w:rsidRPr="004000BC">
        <w:rPr>
          <w:rFonts w:ascii="Times New Roman" w:eastAsia="Times New Roman" w:hAnsi="Times New Roman" w:cs="Times New Roman"/>
          <w:kern w:val="0"/>
          <w:lang w:eastAsia="en-GB"/>
          <w14:ligatures w14:val="none"/>
        </w:rPr>
        <w:t>, 53(2), 209–233. DOI: 10.1111/flan.12600</w:t>
      </w:r>
    </w:p>
    <w:p w14:paraId="75E74C67" w14:textId="77777777" w:rsidR="004000BC" w:rsidRPr="004000BC" w:rsidRDefault="004000BC" w:rsidP="004000B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McKenzie, D. (2022). </w:t>
      </w:r>
      <w:r w:rsidRPr="004000BC">
        <w:rPr>
          <w:rFonts w:ascii="Times New Roman" w:eastAsia="Times New Roman" w:hAnsi="Times New Roman" w:cs="Times New Roman"/>
          <w:i/>
          <w:iCs/>
          <w:kern w:val="0"/>
          <w:lang w:eastAsia="en-GB"/>
          <w14:ligatures w14:val="none"/>
        </w:rPr>
        <w:t>Do financial literacy interventions actually work better than I think they do?</w:t>
      </w:r>
      <w:r w:rsidRPr="004000BC">
        <w:rPr>
          <w:rFonts w:ascii="Times New Roman" w:eastAsia="Times New Roman" w:hAnsi="Times New Roman" w:cs="Times New Roman"/>
          <w:kern w:val="0"/>
          <w:lang w:eastAsia="en-GB"/>
          <w14:ligatures w14:val="none"/>
        </w:rPr>
        <w:t xml:space="preserve"> World Bank Development Impact Blog. blogs.worldbank.org/en/impactevaluations/do-financial-literacy-interventions-actually-work-better-i-think-they-do-and</w:t>
      </w:r>
    </w:p>
    <w:p w14:paraId="456B0793"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Competitor and market-context references</w:t>
      </w:r>
    </w:p>
    <w:p w14:paraId="360E6B7E"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Old Mutual. </w:t>
      </w:r>
      <w:r w:rsidRPr="004000BC">
        <w:rPr>
          <w:rFonts w:ascii="Times New Roman" w:eastAsia="Times New Roman" w:hAnsi="Times New Roman" w:cs="Times New Roman"/>
          <w:i/>
          <w:iCs/>
          <w:kern w:val="0"/>
          <w:lang w:eastAsia="en-GB"/>
          <w14:ligatures w14:val="none"/>
        </w:rPr>
        <w:t>22seven rebrands to Vault22</w:t>
      </w:r>
      <w:r w:rsidRPr="004000BC">
        <w:rPr>
          <w:rFonts w:ascii="Times New Roman" w:eastAsia="Times New Roman" w:hAnsi="Times New Roman" w:cs="Times New Roman"/>
          <w:kern w:val="0"/>
          <w:lang w:eastAsia="en-GB"/>
          <w14:ligatures w14:val="none"/>
        </w:rPr>
        <w:t>, 5 November 2024. oldmutual.co.za/news/22seven-rebrands-to-vault22</w:t>
      </w:r>
    </w:p>
    <w:p w14:paraId="623E997D"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ITWeb. </w:t>
      </w:r>
      <w:r w:rsidRPr="004000BC">
        <w:rPr>
          <w:rFonts w:ascii="Times New Roman" w:eastAsia="Times New Roman" w:hAnsi="Times New Roman" w:cs="Times New Roman"/>
          <w:i/>
          <w:iCs/>
          <w:kern w:val="0"/>
          <w:lang w:eastAsia="en-GB"/>
          <w14:ligatures w14:val="none"/>
        </w:rPr>
        <w:t>Vault22 aims to improve South Africans' financial health</w:t>
      </w:r>
      <w:r w:rsidRPr="004000BC">
        <w:rPr>
          <w:rFonts w:ascii="Times New Roman" w:eastAsia="Times New Roman" w:hAnsi="Times New Roman" w:cs="Times New Roman"/>
          <w:kern w:val="0"/>
          <w:lang w:eastAsia="en-GB"/>
          <w14:ligatures w14:val="none"/>
        </w:rPr>
        <w:t>, November 2024. itweb.co.za/article/vault22-aims-to-improve-south-africans-financial-health/O2rQGqAEb2nqd1ea</w:t>
      </w:r>
    </w:p>
    <w:p w14:paraId="16932CA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Ventureburn. </w:t>
      </w:r>
      <w:r w:rsidRPr="004000BC">
        <w:rPr>
          <w:rFonts w:ascii="Times New Roman" w:eastAsia="Times New Roman" w:hAnsi="Times New Roman" w:cs="Times New Roman"/>
          <w:i/>
          <w:iCs/>
          <w:kern w:val="0"/>
          <w:lang w:eastAsia="en-GB"/>
          <w14:ligatures w14:val="none"/>
        </w:rPr>
        <w:t>Old Mutual brings 22seven in-house, founders leave</w:t>
      </w:r>
      <w:r w:rsidRPr="004000BC">
        <w:rPr>
          <w:rFonts w:ascii="Times New Roman" w:eastAsia="Times New Roman" w:hAnsi="Times New Roman" w:cs="Times New Roman"/>
          <w:kern w:val="0"/>
          <w:lang w:eastAsia="en-GB"/>
          <w14:ligatures w14:val="none"/>
        </w:rPr>
        <w:t>, 2017. ventureburn.com/2017/03/old-mutual-22seven-founders-leave</w:t>
      </w:r>
    </w:p>
    <w:p w14:paraId="2724A6C9"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News24 / Maya Fisher-French. </w:t>
      </w:r>
      <w:r w:rsidRPr="004000BC">
        <w:rPr>
          <w:rFonts w:ascii="Times New Roman" w:eastAsia="Times New Roman" w:hAnsi="Times New Roman" w:cs="Times New Roman"/>
          <w:i/>
          <w:iCs/>
          <w:kern w:val="0"/>
          <w:lang w:eastAsia="en-GB"/>
          <w14:ligatures w14:val="none"/>
        </w:rPr>
        <w:t>Maya on Money | What happened to 22seven?</w:t>
      </w:r>
      <w:r w:rsidRPr="004000BC">
        <w:rPr>
          <w:rFonts w:ascii="Times New Roman" w:eastAsia="Times New Roman" w:hAnsi="Times New Roman" w:cs="Times New Roman"/>
          <w:kern w:val="0"/>
          <w:lang w:eastAsia="en-GB"/>
          <w14:ligatures w14:val="none"/>
        </w:rPr>
        <w:t>, 25 November 2024.</w:t>
      </w:r>
    </w:p>
    <w:p w14:paraId="441F35A0"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TechCentral. </w:t>
      </w:r>
      <w:r w:rsidRPr="004000BC">
        <w:rPr>
          <w:rFonts w:ascii="Times New Roman" w:eastAsia="Times New Roman" w:hAnsi="Times New Roman" w:cs="Times New Roman"/>
          <w:i/>
          <w:iCs/>
          <w:kern w:val="0"/>
          <w:lang w:eastAsia="en-GB"/>
          <w14:ligatures w14:val="none"/>
        </w:rPr>
        <w:t>22seven ditches subscription fee</w:t>
      </w:r>
      <w:r w:rsidRPr="004000BC">
        <w:rPr>
          <w:rFonts w:ascii="Times New Roman" w:eastAsia="Times New Roman" w:hAnsi="Times New Roman" w:cs="Times New Roman"/>
          <w:kern w:val="0"/>
          <w:lang w:eastAsia="en-GB"/>
          <w14:ligatures w14:val="none"/>
        </w:rPr>
        <w:t>. techcentral.co.za/22seven-ditches-subscription-fee/190738</w:t>
      </w:r>
    </w:p>
    <w:p w14:paraId="7C59155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ITWeb. </w:t>
      </w:r>
      <w:r w:rsidRPr="004000BC">
        <w:rPr>
          <w:rFonts w:ascii="Times New Roman" w:eastAsia="Times New Roman" w:hAnsi="Times New Roman" w:cs="Times New Roman"/>
          <w:i/>
          <w:iCs/>
          <w:kern w:val="0"/>
          <w:lang w:eastAsia="en-GB"/>
          <w14:ligatures w14:val="none"/>
        </w:rPr>
        <w:t>Capitec launches free online financial education platform</w:t>
      </w:r>
      <w:r w:rsidRPr="004000BC">
        <w:rPr>
          <w:rFonts w:ascii="Times New Roman" w:eastAsia="Times New Roman" w:hAnsi="Times New Roman" w:cs="Times New Roman"/>
          <w:kern w:val="0"/>
          <w:lang w:eastAsia="en-GB"/>
          <w14:ligatures w14:val="none"/>
        </w:rPr>
        <w:t>, 2020. itweb.co.za/content/xnklOvzLJe9M4Ymz</w:t>
      </w:r>
    </w:p>
    <w:p w14:paraId="009478C3"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Capitec. </w:t>
      </w:r>
      <w:r w:rsidRPr="004000BC">
        <w:rPr>
          <w:rFonts w:ascii="Times New Roman" w:eastAsia="Times New Roman" w:hAnsi="Times New Roman" w:cs="Times New Roman"/>
          <w:i/>
          <w:iCs/>
          <w:kern w:val="0"/>
          <w:lang w:eastAsia="en-GB"/>
          <w14:ligatures w14:val="none"/>
        </w:rPr>
        <w:t>MoneyUp Academy</w:t>
      </w:r>
      <w:r w:rsidRPr="004000BC">
        <w:rPr>
          <w:rFonts w:ascii="Times New Roman" w:eastAsia="Times New Roman" w:hAnsi="Times New Roman" w:cs="Times New Roman"/>
          <w:kern w:val="0"/>
          <w:lang w:eastAsia="en-GB"/>
          <w14:ligatures w14:val="none"/>
        </w:rPr>
        <w:t>. capitecbank.co.za/live-better/money-up/learning/live-better-academy</w:t>
      </w:r>
    </w:p>
    <w:p w14:paraId="5AE96F5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ITWeb. </w:t>
      </w:r>
      <w:r w:rsidRPr="004000BC">
        <w:rPr>
          <w:rFonts w:ascii="Times New Roman" w:eastAsia="Times New Roman" w:hAnsi="Times New Roman" w:cs="Times New Roman"/>
          <w:i/>
          <w:iCs/>
          <w:kern w:val="0"/>
          <w:lang w:eastAsia="en-GB"/>
          <w14:ligatures w14:val="none"/>
        </w:rPr>
        <w:t>Capitec's Moola chatbot teaches financial literacy</w:t>
      </w:r>
      <w:r w:rsidRPr="004000BC">
        <w:rPr>
          <w:rFonts w:ascii="Times New Roman" w:eastAsia="Times New Roman" w:hAnsi="Times New Roman" w:cs="Times New Roman"/>
          <w:kern w:val="0"/>
          <w:lang w:eastAsia="en-GB"/>
          <w14:ligatures w14:val="none"/>
        </w:rPr>
        <w:t>. itweb.co.za/article/capitecs-moola-chatbot-teaches-financial-literacy/lwrKxq3YA4b7mg1o</w:t>
      </w:r>
    </w:p>
    <w:p w14:paraId="48610D4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UNSGSA (2025). </w:t>
      </w:r>
      <w:r w:rsidRPr="004000BC">
        <w:rPr>
          <w:rFonts w:ascii="Times New Roman" w:eastAsia="Times New Roman" w:hAnsi="Times New Roman" w:cs="Times New Roman"/>
          <w:i/>
          <w:iCs/>
          <w:kern w:val="0"/>
          <w:lang w:eastAsia="en-GB"/>
          <w14:ligatures w14:val="none"/>
        </w:rPr>
        <w:t>Making Healthy Choices a Habit: Discovery Bank's Vitality Money Program</w:t>
      </w:r>
      <w:r w:rsidRPr="004000BC">
        <w:rPr>
          <w:rFonts w:ascii="Times New Roman" w:eastAsia="Times New Roman" w:hAnsi="Times New Roman" w:cs="Times New Roman"/>
          <w:kern w:val="0"/>
          <w:lang w:eastAsia="en-GB"/>
          <w14:ligatures w14:val="none"/>
        </w:rPr>
        <w:t>. unsgsa.org/stories/making-healthy-choices-habit-discovery-banks-vitality-money-program-encourages-behavior-change-better-financial-health</w:t>
      </w:r>
    </w:p>
    <w:p w14:paraId="4E48778D"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Hypertext (2024). </w:t>
      </w:r>
      <w:r w:rsidRPr="004000BC">
        <w:rPr>
          <w:rFonts w:ascii="Times New Roman" w:eastAsia="Times New Roman" w:hAnsi="Times New Roman" w:cs="Times New Roman"/>
          <w:i/>
          <w:iCs/>
          <w:kern w:val="0"/>
          <w:lang w:eastAsia="en-GB"/>
          <w14:ligatures w14:val="none"/>
        </w:rPr>
        <w:t>What happened to Bettr?</w:t>
      </w:r>
      <w:r w:rsidRPr="004000BC">
        <w:rPr>
          <w:rFonts w:ascii="Times New Roman" w:eastAsia="Times New Roman" w:hAnsi="Times New Roman" w:cs="Times New Roman"/>
          <w:kern w:val="0"/>
          <w:lang w:eastAsia="en-GB"/>
          <w14:ligatures w14:val="none"/>
        </w:rPr>
        <w:t xml:space="preserve"> htxt.co.za/2024/02/what-happened-to-bettr-that-bank-for-south-african-creators</w:t>
      </w:r>
    </w:p>
    <w:p w14:paraId="4D1F2C9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Liberty. </w:t>
      </w:r>
      <w:r w:rsidRPr="004000BC">
        <w:rPr>
          <w:rFonts w:ascii="Times New Roman" w:eastAsia="Times New Roman" w:hAnsi="Times New Roman" w:cs="Times New Roman"/>
          <w:i/>
          <w:iCs/>
          <w:kern w:val="0"/>
          <w:lang w:eastAsia="en-GB"/>
          <w14:ligatures w14:val="none"/>
        </w:rPr>
        <w:t>Mind My Money Programme</w:t>
      </w:r>
      <w:r w:rsidRPr="004000BC">
        <w:rPr>
          <w:rFonts w:ascii="Times New Roman" w:eastAsia="Times New Roman" w:hAnsi="Times New Roman" w:cs="Times New Roman"/>
          <w:kern w:val="0"/>
          <w:lang w:eastAsia="en-GB"/>
          <w14:ligatures w14:val="none"/>
        </w:rPr>
        <w:t>. liberty.co.za/media-insights/libertys-mind-my-money-programme-helps-people-on-their-journey-to-financial-freedom</w:t>
      </w:r>
    </w:p>
    <w:p w14:paraId="3FFFA5C8"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Sanlam Reality. sanlamreality.co.za</w:t>
      </w:r>
    </w:p>
    <w:p w14:paraId="4D87B136"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Old Mutual. </w:t>
      </w:r>
      <w:r w:rsidRPr="004000BC">
        <w:rPr>
          <w:rFonts w:ascii="Times New Roman" w:eastAsia="Times New Roman" w:hAnsi="Times New Roman" w:cs="Times New Roman"/>
          <w:i/>
          <w:iCs/>
          <w:kern w:val="0"/>
          <w:lang w:eastAsia="en-GB"/>
          <w14:ligatures w14:val="none"/>
        </w:rPr>
        <w:t>On The Money Financial Education Programme</w:t>
      </w:r>
      <w:r w:rsidRPr="004000BC">
        <w:rPr>
          <w:rFonts w:ascii="Times New Roman" w:eastAsia="Times New Roman" w:hAnsi="Times New Roman" w:cs="Times New Roman"/>
          <w:kern w:val="0"/>
          <w:lang w:eastAsia="en-GB"/>
          <w14:ligatures w14:val="none"/>
        </w:rPr>
        <w:t>. oldmutual.co.za/personal/solutions/financial-education/on-the-money</w:t>
      </w:r>
    </w:p>
    <w:p w14:paraId="69A6505D"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Absa. </w:t>
      </w:r>
      <w:r w:rsidRPr="004000BC">
        <w:rPr>
          <w:rFonts w:ascii="Times New Roman" w:eastAsia="Times New Roman" w:hAnsi="Times New Roman" w:cs="Times New Roman"/>
          <w:i/>
          <w:iCs/>
          <w:kern w:val="0"/>
          <w:lang w:eastAsia="en-GB"/>
          <w14:ligatures w14:val="none"/>
        </w:rPr>
        <w:t>Ready to Work</w:t>
      </w:r>
      <w:r w:rsidRPr="004000BC">
        <w:rPr>
          <w:rFonts w:ascii="Times New Roman" w:eastAsia="Times New Roman" w:hAnsi="Times New Roman" w:cs="Times New Roman"/>
          <w:kern w:val="0"/>
          <w:lang w:eastAsia="en-GB"/>
          <w14:ligatures w14:val="none"/>
        </w:rPr>
        <w:t>. absa.africa/a-force-for-good/ready-to-work</w:t>
      </w:r>
    </w:p>
    <w:p w14:paraId="2C65E145"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Purple Group / EasyEquities FY25 results. blogs.easyequities.co.za/easyequities-fy25-results</w:t>
      </w:r>
    </w:p>
    <w:p w14:paraId="5B7FD39B"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TymeBank. </w:t>
      </w:r>
      <w:r w:rsidRPr="004000BC">
        <w:rPr>
          <w:rFonts w:ascii="Times New Roman" w:eastAsia="Times New Roman" w:hAnsi="Times New Roman" w:cs="Times New Roman"/>
          <w:i/>
          <w:iCs/>
          <w:kern w:val="0"/>
          <w:lang w:eastAsia="en-GB"/>
          <w14:ligatures w14:val="none"/>
        </w:rPr>
        <w:t>10 Million Customers &amp; Record Deposits in 2024</w:t>
      </w:r>
      <w:r w:rsidRPr="004000BC">
        <w:rPr>
          <w:rFonts w:ascii="Times New Roman" w:eastAsia="Times New Roman" w:hAnsi="Times New Roman" w:cs="Times New Roman"/>
          <w:kern w:val="0"/>
          <w:lang w:eastAsia="en-GB"/>
          <w14:ligatures w14:val="none"/>
        </w:rPr>
        <w:t>. tymebank.co.za/press/tymebank-reaches-10-million-customers</w:t>
      </w:r>
    </w:p>
    <w:p w14:paraId="51E5BC58"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Moonstone. </w:t>
      </w:r>
      <w:r w:rsidRPr="004000BC">
        <w:rPr>
          <w:rFonts w:ascii="Times New Roman" w:eastAsia="Times New Roman" w:hAnsi="Times New Roman" w:cs="Times New Roman"/>
          <w:i/>
          <w:iCs/>
          <w:kern w:val="0"/>
          <w:lang w:eastAsia="en-GB"/>
          <w14:ligatures w14:val="none"/>
        </w:rPr>
        <w:t>Gross two-pot withdrawals top R43 billion</w:t>
      </w:r>
      <w:r w:rsidRPr="004000BC">
        <w:rPr>
          <w:rFonts w:ascii="Times New Roman" w:eastAsia="Times New Roman" w:hAnsi="Times New Roman" w:cs="Times New Roman"/>
          <w:kern w:val="0"/>
          <w:lang w:eastAsia="en-GB"/>
          <w14:ligatures w14:val="none"/>
        </w:rPr>
        <w:t>, 2025. moonstone.co.za/gross-two-pot-withdrawals-top-r43-billion</w:t>
      </w:r>
    </w:p>
    <w:p w14:paraId="75777068"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Moneyweb. </w:t>
      </w:r>
      <w:r w:rsidRPr="004000BC">
        <w:rPr>
          <w:rFonts w:ascii="Times New Roman" w:eastAsia="Times New Roman" w:hAnsi="Times New Roman" w:cs="Times New Roman"/>
          <w:i/>
          <w:iCs/>
          <w:kern w:val="0"/>
          <w:lang w:eastAsia="en-GB"/>
          <w14:ligatures w14:val="none"/>
        </w:rPr>
        <w:t>Those aged 35 to 44 lead the way in two-pot withdrawals</w:t>
      </w:r>
      <w:r w:rsidRPr="004000BC">
        <w:rPr>
          <w:rFonts w:ascii="Times New Roman" w:eastAsia="Times New Roman" w:hAnsi="Times New Roman" w:cs="Times New Roman"/>
          <w:kern w:val="0"/>
          <w:lang w:eastAsia="en-GB"/>
          <w14:ligatures w14:val="none"/>
        </w:rPr>
        <w:t>. moneyweb.co.za/news/south-africa/those-aged-35-to-44-lead-the-way-in-two-pot-withdrawals-sanlam</w:t>
      </w:r>
    </w:p>
    <w:p w14:paraId="022029F7"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lastRenderedPageBreak/>
        <w:t xml:space="preserve">The Citizen. </w:t>
      </w:r>
      <w:r w:rsidRPr="004000BC">
        <w:rPr>
          <w:rFonts w:ascii="Times New Roman" w:eastAsia="Times New Roman" w:hAnsi="Times New Roman" w:cs="Times New Roman"/>
          <w:i/>
          <w:iCs/>
          <w:kern w:val="0"/>
          <w:lang w:eastAsia="en-GB"/>
          <w14:ligatures w14:val="none"/>
        </w:rPr>
        <w:t>Two-pot retirement system: consumers drawing as much and as often as they can</w:t>
      </w:r>
      <w:r w:rsidRPr="004000BC">
        <w:rPr>
          <w:rFonts w:ascii="Times New Roman" w:eastAsia="Times New Roman" w:hAnsi="Times New Roman" w:cs="Times New Roman"/>
          <w:kern w:val="0"/>
          <w:lang w:eastAsia="en-GB"/>
          <w14:ligatures w14:val="none"/>
        </w:rPr>
        <w:t>. citizen.co.za/business/personal-finance/two-pot-retirement-system-consumers-drawing-as-much-and-as-often-as-they-can</w:t>
      </w:r>
    </w:p>
    <w:p w14:paraId="26F696AA"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Sacra. </w:t>
      </w:r>
      <w:r w:rsidRPr="004000BC">
        <w:rPr>
          <w:rFonts w:ascii="Times New Roman" w:eastAsia="Times New Roman" w:hAnsi="Times New Roman" w:cs="Times New Roman"/>
          <w:i/>
          <w:iCs/>
          <w:kern w:val="0"/>
          <w:lang w:eastAsia="en-GB"/>
          <w14:ligatures w14:val="none"/>
        </w:rPr>
        <w:t>Cleo revenue, funding &amp; growth rate</w:t>
      </w:r>
      <w:r w:rsidRPr="004000BC">
        <w:rPr>
          <w:rFonts w:ascii="Times New Roman" w:eastAsia="Times New Roman" w:hAnsi="Times New Roman" w:cs="Times New Roman"/>
          <w:kern w:val="0"/>
          <w:lang w:eastAsia="en-GB"/>
          <w14:ligatures w14:val="none"/>
        </w:rPr>
        <w:t>. sacra.com/c/cleo</w:t>
      </w:r>
    </w:p>
    <w:p w14:paraId="5CFEB87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TechCrunch. </w:t>
      </w:r>
      <w:r w:rsidRPr="004000BC">
        <w:rPr>
          <w:rFonts w:ascii="Times New Roman" w:eastAsia="Times New Roman" w:hAnsi="Times New Roman" w:cs="Times New Roman"/>
          <w:i/>
          <w:iCs/>
          <w:kern w:val="0"/>
          <w:lang w:eastAsia="en-GB"/>
          <w14:ligatures w14:val="none"/>
        </w:rPr>
        <w:t>Truist acquires fintech startup Long Game</w:t>
      </w:r>
      <w:r w:rsidRPr="004000BC">
        <w:rPr>
          <w:rFonts w:ascii="Times New Roman" w:eastAsia="Times New Roman" w:hAnsi="Times New Roman" w:cs="Times New Roman"/>
          <w:kern w:val="0"/>
          <w:lang w:eastAsia="en-GB"/>
          <w14:ligatures w14:val="none"/>
        </w:rPr>
        <w:t>, 3 May 2022. techcrunch.com/2022/05/03/banking-giant-truist-acquires-fintech-startup-long-game-in-effort-to-reach-younger-demographic</w:t>
      </w:r>
    </w:p>
    <w:p w14:paraId="32F8CE95"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Monarch / Val Agostino. </w:t>
      </w:r>
      <w:r w:rsidRPr="004000BC">
        <w:rPr>
          <w:rFonts w:ascii="Times New Roman" w:eastAsia="Times New Roman" w:hAnsi="Times New Roman" w:cs="Times New Roman"/>
          <w:i/>
          <w:iCs/>
          <w:kern w:val="0"/>
          <w:lang w:eastAsia="en-GB"/>
          <w14:ligatures w14:val="none"/>
        </w:rPr>
        <w:t>Mint is shutting down</w:t>
      </w:r>
      <w:r w:rsidRPr="004000BC">
        <w:rPr>
          <w:rFonts w:ascii="Times New Roman" w:eastAsia="Times New Roman" w:hAnsi="Times New Roman" w:cs="Times New Roman"/>
          <w:kern w:val="0"/>
          <w:lang w:eastAsia="en-GB"/>
          <w14:ligatures w14:val="none"/>
        </w:rPr>
        <w:t>. monarch.com/blog/mint-shutting-down</w:t>
      </w:r>
    </w:p>
    <w:p w14:paraId="0E19F9EE"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Fundi Capital. </w:t>
      </w:r>
      <w:r w:rsidRPr="004000BC">
        <w:rPr>
          <w:rFonts w:ascii="Times New Roman" w:eastAsia="Times New Roman" w:hAnsi="Times New Roman" w:cs="Times New Roman"/>
          <w:i/>
          <w:iCs/>
          <w:kern w:val="0"/>
          <w:lang w:eastAsia="en-GB"/>
          <w14:ligatures w14:val="none"/>
        </w:rPr>
        <w:t>About Fundi</w:t>
      </w:r>
      <w:r w:rsidRPr="004000BC">
        <w:rPr>
          <w:rFonts w:ascii="Times New Roman" w:eastAsia="Times New Roman" w:hAnsi="Times New Roman" w:cs="Times New Roman"/>
          <w:kern w:val="0"/>
          <w:lang w:eastAsia="en-GB"/>
          <w14:ligatures w14:val="none"/>
        </w:rPr>
        <w:t>. fundifinance.co.za/about-fundi.php</w:t>
      </w:r>
    </w:p>
    <w:p w14:paraId="1595E419"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Public Investment Corporation. </w:t>
      </w:r>
      <w:r w:rsidRPr="004000BC">
        <w:rPr>
          <w:rFonts w:ascii="Times New Roman" w:eastAsia="Times New Roman" w:hAnsi="Times New Roman" w:cs="Times New Roman"/>
          <w:i/>
          <w:iCs/>
          <w:kern w:val="0"/>
          <w:lang w:eastAsia="en-GB"/>
          <w14:ligatures w14:val="none"/>
        </w:rPr>
        <w:t>Fundi Capital Unlisted Investment Details as at 31 March 2018</w:t>
      </w:r>
      <w:r w:rsidRPr="004000BC">
        <w:rPr>
          <w:rFonts w:ascii="Times New Roman" w:eastAsia="Times New Roman" w:hAnsi="Times New Roman" w:cs="Times New Roman"/>
          <w:kern w:val="0"/>
          <w:lang w:eastAsia="en-GB"/>
          <w14:ligatures w14:val="none"/>
        </w:rPr>
        <w:t>. pic.gov.za/DocPresentations/29.-Fundi-Capital.pdf</w:t>
      </w:r>
    </w:p>
    <w:p w14:paraId="325C553F"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Superads.ai. </w:t>
      </w:r>
      <w:r w:rsidRPr="004000BC">
        <w:rPr>
          <w:rFonts w:ascii="Times New Roman" w:eastAsia="Times New Roman" w:hAnsi="Times New Roman" w:cs="Times New Roman"/>
          <w:i/>
          <w:iCs/>
          <w:kern w:val="0"/>
          <w:lang w:eastAsia="en-GB"/>
          <w14:ligatures w14:val="none"/>
        </w:rPr>
        <w:t>Facebook Ads CPM Benchmarks South Africa 2025</w:t>
      </w:r>
      <w:r w:rsidRPr="004000BC">
        <w:rPr>
          <w:rFonts w:ascii="Times New Roman" w:eastAsia="Times New Roman" w:hAnsi="Times New Roman" w:cs="Times New Roman"/>
          <w:kern w:val="0"/>
          <w:lang w:eastAsia="en-GB"/>
          <w14:ligatures w14:val="none"/>
        </w:rPr>
        <w:t>. superads.ai/facebook-ads-costs/cpm-cost-per-mille/south-africa</w:t>
      </w:r>
    </w:p>
    <w:p w14:paraId="1B3F1447" w14:textId="77777777" w:rsidR="004000BC" w:rsidRPr="004000BC" w:rsidRDefault="004000BC" w:rsidP="004000B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 xml:space="preserve">Rest of World (2024). </w:t>
      </w:r>
      <w:r w:rsidRPr="004000BC">
        <w:rPr>
          <w:rFonts w:ascii="Times New Roman" w:eastAsia="Times New Roman" w:hAnsi="Times New Roman" w:cs="Times New Roman"/>
          <w:i/>
          <w:iCs/>
          <w:kern w:val="0"/>
          <w:lang w:eastAsia="en-GB"/>
          <w14:ligatures w14:val="none"/>
        </w:rPr>
        <w:t>How Showmax dethroned Netflix</w:t>
      </w:r>
      <w:r w:rsidRPr="004000BC">
        <w:rPr>
          <w:rFonts w:ascii="Times New Roman" w:eastAsia="Times New Roman" w:hAnsi="Times New Roman" w:cs="Times New Roman"/>
          <w:kern w:val="0"/>
          <w:lang w:eastAsia="en-GB"/>
          <w14:ligatures w14:val="none"/>
        </w:rPr>
        <w:t>. restofworld.org/2024/showmax-subscription-africa-netflix</w:t>
      </w:r>
    </w:p>
    <w:p w14:paraId="5DF998B8" w14:textId="77777777" w:rsidR="004000BC" w:rsidRPr="004000BC" w:rsidRDefault="004000BC" w:rsidP="00400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0BC">
        <w:rPr>
          <w:rFonts w:ascii="Times New Roman" w:eastAsia="Times New Roman" w:hAnsi="Times New Roman" w:cs="Times New Roman"/>
          <w:b/>
          <w:bCs/>
          <w:kern w:val="0"/>
          <w:sz w:val="27"/>
          <w:szCs w:val="27"/>
          <w:lang w:eastAsia="en-GB"/>
          <w14:ligatures w14:val="none"/>
        </w:rPr>
        <w:t>Items flagged as unverified or requiring confirmation before citation</w:t>
      </w:r>
    </w:p>
    <w:p w14:paraId="4B64BC23"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"1Life Generational Wealth Survey" — could not be verified against a primary 1Life source within research scope; do not cite without confirmation.</w:t>
      </w:r>
    </w:p>
    <w:p w14:paraId="729256C4"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"40,000 unregistered mashonisas" — widely cited but originates from a single 2018 Wonga-commissioned qualitative study; treat as directional estimate.</w:t>
      </w:r>
    </w:p>
    <w:p w14:paraId="7317850D"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"6% of South Africans can retire comfortably" — verified to 10X Retirement Reality Report 2023/2024 (Brand Atlas 2023 base). 10X also attributes a parallel figure to National Treasury; the direct Treasury publication containing this exact number was not retrieved.</w:t>
      </w:r>
    </w:p>
    <w:p w14:paraId="68583A7B" w14:textId="77777777" w:rsidR="004000BC" w:rsidRPr="004000BC" w:rsidRDefault="004000BC" w:rsidP="004000B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kern w:val="0"/>
          <w:lang w:eastAsia="en-GB"/>
          <w14:ligatures w14:val="none"/>
        </w:rPr>
        <w:t>r/PersonalFinanceZA exact subscriber count, TikTok hashtag view counts, and several creator YouTube subscriber counts could not be retrieved during research — re-validate via direct platform access before citing.</w:t>
      </w:r>
    </w:p>
    <w:p w14:paraId="1BC87D24" w14:textId="77777777" w:rsidR="004000BC" w:rsidRPr="004000BC" w:rsidRDefault="00054882" w:rsidP="004000BC">
      <w:pPr>
        <w:spacing w:after="0" w:line="240" w:lineRule="auto"/>
        <w:rPr>
          <w:rFonts w:ascii="Times New Roman" w:eastAsia="Times New Roman" w:hAnsi="Times New Roman" w:cs="Times New Roman"/>
          <w:kern w:val="0"/>
          <w:lang w:eastAsia="en-GB"/>
          <w14:ligatures w14:val="none"/>
        </w:rPr>
      </w:pPr>
      <w:r w:rsidRPr="00054882">
        <w:rPr>
          <w:rFonts w:ascii="Times New Roman" w:eastAsia="Times New Roman" w:hAnsi="Times New Roman" w:cs="Times New Roman"/>
          <w:noProof/>
          <w:kern w:val="0"/>
          <w:lang w:eastAsia="en-GB"/>
        </w:rPr>
        <w:pict w14:anchorId="6153F75E">
          <v:rect id="_x0000_i1035" alt="" style="width:451.3pt;height:.05pt;mso-width-percent:0;mso-height-percent:0;mso-width-percent:0;mso-height-percent:0" o:hralign="center" o:hrstd="t" o:hr="t" fillcolor="#a0a0a0" stroked="f"/>
        </w:pict>
      </w:r>
    </w:p>
    <w:p w14:paraId="75759C9A" w14:textId="77777777" w:rsidR="004000BC" w:rsidRPr="004000BC" w:rsidRDefault="004000BC" w:rsidP="004000B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0BC">
        <w:rPr>
          <w:rFonts w:ascii="Times New Roman" w:eastAsia="Times New Roman" w:hAnsi="Times New Roman" w:cs="Times New Roman"/>
          <w:i/>
          <w:iCs/>
          <w:kern w:val="0"/>
          <w:lang w:eastAsia="en-GB"/>
          <w14:ligatures w14:val="none"/>
        </w:rPr>
        <w:t>This report was prepared from peer-reviewed academic literature, primary government and regulatory sources, official survey reports (FSCA, HSRC, FinMark Trust, Stats SA, SARS, SARB, NCR, ICASA), industry press releases and credible South African business journalism. Where data could not be independently verified, it is flagged. The report is intended to inform a founder decision; it is not legal, financial or investment advice.</w:t>
      </w:r>
    </w:p>
    <w:p w14:paraId="69E3EED8" w14:textId="77777777" w:rsidR="00B3562C" w:rsidRDefault="00B3562C"/>
    <w:sectPr w:rsidR="00B35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BF1"/>
    <w:multiLevelType w:val="multilevel"/>
    <w:tmpl w:val="749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E5C"/>
    <w:multiLevelType w:val="multilevel"/>
    <w:tmpl w:val="50C8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D77E0"/>
    <w:multiLevelType w:val="multilevel"/>
    <w:tmpl w:val="472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143B"/>
    <w:multiLevelType w:val="multilevel"/>
    <w:tmpl w:val="9C8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71D7"/>
    <w:multiLevelType w:val="multilevel"/>
    <w:tmpl w:val="1BD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A1874"/>
    <w:multiLevelType w:val="multilevel"/>
    <w:tmpl w:val="A732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70B2C"/>
    <w:multiLevelType w:val="multilevel"/>
    <w:tmpl w:val="909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30B0D"/>
    <w:multiLevelType w:val="multilevel"/>
    <w:tmpl w:val="30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F5B56"/>
    <w:multiLevelType w:val="multilevel"/>
    <w:tmpl w:val="998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106778">
    <w:abstractNumId w:val="1"/>
  </w:num>
  <w:num w:numId="2" w16cid:durableId="288516886">
    <w:abstractNumId w:val="5"/>
  </w:num>
  <w:num w:numId="3" w16cid:durableId="1024211525">
    <w:abstractNumId w:val="8"/>
  </w:num>
  <w:num w:numId="4" w16cid:durableId="896934617">
    <w:abstractNumId w:val="3"/>
  </w:num>
  <w:num w:numId="5" w16cid:durableId="1788235168">
    <w:abstractNumId w:val="2"/>
  </w:num>
  <w:num w:numId="6" w16cid:durableId="970982238">
    <w:abstractNumId w:val="6"/>
  </w:num>
  <w:num w:numId="7" w16cid:durableId="1940553639">
    <w:abstractNumId w:val="7"/>
  </w:num>
  <w:num w:numId="8" w16cid:durableId="621496031">
    <w:abstractNumId w:val="0"/>
  </w:num>
  <w:num w:numId="9" w16cid:durableId="126050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BC"/>
    <w:rsid w:val="0005290A"/>
    <w:rsid w:val="00054882"/>
    <w:rsid w:val="00080EA8"/>
    <w:rsid w:val="00276840"/>
    <w:rsid w:val="002A67FA"/>
    <w:rsid w:val="004000BC"/>
    <w:rsid w:val="006D4ABA"/>
    <w:rsid w:val="00B3562C"/>
    <w:rsid w:val="00B368BF"/>
    <w:rsid w:val="00E040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72AF"/>
  <w15:chartTrackingRefBased/>
  <w15:docId w15:val="{260CD1F1-ADAD-8F4C-BB5C-3A4EFDED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heSolution">
    <w:name w:val="The Solution"/>
    <w:basedOn w:val="TableNormal"/>
    <w:uiPriority w:val="99"/>
    <w:rsid w:val="00052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left"/>
      </w:pPr>
      <w:tblPr/>
      <w:tcPr>
        <w:shd w:val="clear" w:color="auto" w:fill="27F97D"/>
      </w:tcPr>
    </w:tblStylePr>
  </w:style>
  <w:style w:type="character" w:customStyle="1" w:styleId="Heading1Char">
    <w:name w:val="Heading 1 Char"/>
    <w:basedOn w:val="DefaultParagraphFont"/>
    <w:link w:val="Heading1"/>
    <w:uiPriority w:val="9"/>
    <w:rsid w:val="00400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0BC"/>
    <w:rPr>
      <w:rFonts w:eastAsiaTheme="majorEastAsia" w:cstheme="majorBidi"/>
      <w:color w:val="272727" w:themeColor="text1" w:themeTint="D8"/>
    </w:rPr>
  </w:style>
  <w:style w:type="paragraph" w:styleId="Title">
    <w:name w:val="Title"/>
    <w:basedOn w:val="Normal"/>
    <w:next w:val="Normal"/>
    <w:link w:val="TitleChar"/>
    <w:uiPriority w:val="10"/>
    <w:qFormat/>
    <w:rsid w:val="0040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0BC"/>
    <w:pPr>
      <w:spacing w:before="160"/>
      <w:jc w:val="center"/>
    </w:pPr>
    <w:rPr>
      <w:i/>
      <w:iCs/>
      <w:color w:val="404040" w:themeColor="text1" w:themeTint="BF"/>
    </w:rPr>
  </w:style>
  <w:style w:type="character" w:customStyle="1" w:styleId="QuoteChar">
    <w:name w:val="Quote Char"/>
    <w:basedOn w:val="DefaultParagraphFont"/>
    <w:link w:val="Quote"/>
    <w:uiPriority w:val="29"/>
    <w:rsid w:val="004000BC"/>
    <w:rPr>
      <w:i/>
      <w:iCs/>
      <w:color w:val="404040" w:themeColor="text1" w:themeTint="BF"/>
    </w:rPr>
  </w:style>
  <w:style w:type="paragraph" w:styleId="ListParagraph">
    <w:name w:val="List Paragraph"/>
    <w:basedOn w:val="Normal"/>
    <w:uiPriority w:val="34"/>
    <w:qFormat/>
    <w:rsid w:val="004000BC"/>
    <w:pPr>
      <w:ind w:left="720"/>
      <w:contextualSpacing/>
    </w:pPr>
  </w:style>
  <w:style w:type="character" w:styleId="IntenseEmphasis">
    <w:name w:val="Intense Emphasis"/>
    <w:basedOn w:val="DefaultParagraphFont"/>
    <w:uiPriority w:val="21"/>
    <w:qFormat/>
    <w:rsid w:val="004000BC"/>
    <w:rPr>
      <w:i/>
      <w:iCs/>
      <w:color w:val="0F4761" w:themeColor="accent1" w:themeShade="BF"/>
    </w:rPr>
  </w:style>
  <w:style w:type="paragraph" w:styleId="IntenseQuote">
    <w:name w:val="Intense Quote"/>
    <w:basedOn w:val="Normal"/>
    <w:next w:val="Normal"/>
    <w:link w:val="IntenseQuoteChar"/>
    <w:uiPriority w:val="30"/>
    <w:qFormat/>
    <w:rsid w:val="0040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0BC"/>
    <w:rPr>
      <w:i/>
      <w:iCs/>
      <w:color w:val="0F4761" w:themeColor="accent1" w:themeShade="BF"/>
    </w:rPr>
  </w:style>
  <w:style w:type="character" w:styleId="IntenseReference">
    <w:name w:val="Intense Reference"/>
    <w:basedOn w:val="DefaultParagraphFont"/>
    <w:uiPriority w:val="32"/>
    <w:qFormat/>
    <w:rsid w:val="004000BC"/>
    <w:rPr>
      <w:b/>
      <w:bCs/>
      <w:smallCaps/>
      <w:color w:val="0F4761" w:themeColor="accent1" w:themeShade="BF"/>
      <w:spacing w:val="5"/>
    </w:rPr>
  </w:style>
  <w:style w:type="paragraph" w:styleId="NormalWeb">
    <w:name w:val="Normal (Web)"/>
    <w:basedOn w:val="Normal"/>
    <w:uiPriority w:val="99"/>
    <w:semiHidden/>
    <w:unhideWhenUsed/>
    <w:rsid w:val="004000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00BC"/>
    <w:rPr>
      <w:b/>
      <w:bCs/>
    </w:rPr>
  </w:style>
  <w:style w:type="character" w:styleId="Emphasis">
    <w:name w:val="Emphasis"/>
    <w:basedOn w:val="DefaultParagraphFont"/>
    <w:uiPriority w:val="20"/>
    <w:qFormat/>
    <w:rsid w:val="004000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8631</Words>
  <Characters>49203</Characters>
  <Application>Microsoft Office Word</Application>
  <DocSecurity>0</DocSecurity>
  <Lines>410</Lines>
  <Paragraphs>115</Paragraphs>
  <ScaleCrop>false</ScaleCrop>
  <Company/>
  <LinksUpToDate>false</LinksUpToDate>
  <CharactersWithSpaces>57719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Ntshangase, Kwanele</dc:creator>
  <cp:keywords/>
  <dc:description/>
  <cp:lastModifiedBy>Ntshangase, Kwanele</cp:lastModifiedBy>
  <cp:revision>1</cp:revision>
  <dcterms:created xsi:type="dcterms:W3CDTF">2026-05-14T09:59:00Z</dcterms:created>
  <dcterms:modified xsi:type="dcterms:W3CDTF">2026-05-14T10:01:00Z</dcterms:modified>
</cp:coreProperties>
</file>