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60"/>
        <w:jc w:val="center"/>
      </w:pPr>
      <w:r>
        <w:rPr>
          <w:rFonts w:ascii="Times New Roman" w:cs="Times New Roman" w:eastAsia="Times New Roman" w:hAnsi="Times New Roman"/>
          <w:b/>
          <w:bCs/>
          <w:sz w:val="32"/>
          <w:szCs w:val="32"/>
        </w:rPr>
        <w:t xml:space="preserve">Physics-Informed Neural Network for Non-Invasive Estimation of</w:t>
      </w:r>
    </w:p>
    <w:p>
      <w:pPr>
        <w:spacing w:after="80" w:line="360"/>
        <w:jc w:val="center"/>
      </w:pPr>
      <w:r>
        <w:rPr>
          <w:rFonts w:ascii="Times New Roman" w:cs="Times New Roman" w:eastAsia="Times New Roman" w:hAnsi="Times New Roman"/>
          <w:b/>
          <w:bCs/>
          <w:sz w:val="32"/>
          <w:szCs w:val="32"/>
        </w:rPr>
        <w:t xml:space="preserve">Diastolic Hemodynamic Parameters from Standard Echocardiography:</w:t>
      </w:r>
    </w:p>
    <w:p>
      <w:pPr>
        <w:spacing w:after="200" w:line="360"/>
        <w:jc w:val="center"/>
      </w:pPr>
      <w:r>
        <w:rPr>
          <w:rFonts w:ascii="Times New Roman" w:cs="Times New Roman" w:eastAsia="Times New Roman" w:hAnsi="Times New Roman"/>
          <w:b/>
          <w:bCs/>
          <w:sz w:val="32"/>
          <w:szCs w:val="32"/>
        </w:rPr>
        <w:t xml:space="preserve">External Validation in 26,823 MIMIC-IV Patients</w:t>
      </w:r>
    </w:p>
    <w:p>
      <w:pPr>
        <w:spacing w:after="60" w:line="360"/>
        <w:jc w:val="center"/>
      </w:pPr>
      <w:r>
        <w:rPr>
          <w:rFonts w:ascii="Times New Roman" w:cs="Times New Roman" w:eastAsia="Times New Roman" w:hAnsi="Times New Roman"/>
          <w:sz w:val="24"/>
          <w:szCs w:val="24"/>
        </w:rPr>
        <w:t xml:space="preserve">Kwanhyeong Lee</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[Co-author Name]</w:t>
      </w:r>
      <w:r>
        <w:rPr>
          <w:rFonts w:ascii="Times New Roman" w:cs="Times New Roman" w:eastAsia="Times New Roman" w:hAnsi="Times New Roman"/>
          <w:sz w:val="24"/>
          <w:szCs w:val="24"/>
          <w:vertAlign w:val="superscript"/>
        </w:rPr>
        <w:t xml:space="preserve">1,2</w:t>
      </w:r>
    </w:p>
    <w:p>
      <w:pPr>
        <w:spacing w:after="200" w:line="276"/>
        <w:jc w:val="center"/>
      </w:pP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i/>
          <w:iCs/>
          <w:sz w:val="20"/>
          <w:szCs w:val="20"/>
        </w:rPr>
        <w:t xml:space="preserve"> [Affiliation], </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i/>
          <w:iCs/>
          <w:sz w:val="20"/>
          <w:szCs w:val="20"/>
        </w:rPr>
        <w:t xml:space="preserve"> [Affiliation]</w:t>
      </w:r>
    </w:p>
    <w:p>
      <w:pPr>
        <w:pStyle w:val="Heading1"/>
        <w:spacing w:after="120" w:before="240" w:line="360"/>
      </w:pPr>
      <w:r>
        <w:rPr>
          <w:rFonts w:ascii="Times New Roman" w:cs="Times New Roman" w:eastAsia="Times New Roman" w:hAnsi="Times New Roman"/>
          <w:b/>
          <w:bCs/>
          <w:sz w:val="28"/>
          <w:szCs w:val="28"/>
        </w:rPr>
        <w:t xml:space="preserve">Abstract</w:t>
      </w:r>
    </w:p>
    <w:p>
      <w:pPr>
        <w:spacing w:after="120" w:before="0" w:line="360"/>
        <w:jc w:val="both"/>
      </w:pPr>
      <w:r>
        <w:rPr>
          <w:rFonts w:ascii="Times New Roman" w:cs="Times New Roman" w:eastAsia="Times New Roman" w:hAnsi="Times New Roman"/>
          <w:b/>
          <w:bCs/>
          <w:sz w:val="24"/>
          <w:szCs w:val="24"/>
        </w:rPr>
        <w:t xml:space="preserve">Background: </w:t>
      </w:r>
      <w:r>
        <w:rPr>
          <w:rFonts w:ascii="Times New Roman" w:cs="Times New Roman" w:eastAsia="Times New Roman" w:hAnsi="Times New Roman"/>
          <w:sz w:val="24"/>
          <w:szCs w:val="24"/>
        </w:rPr>
        <w:t xml:space="preserve">Non-invasive assessment of diastolic function relies heavily on echocardiographic surrogates such as E/e’, which suffer from inherent ambiguity—particularly in the indeterminate zone (E/e’ 8–13)—and cannot directly quantify underlying physiological parameters including myocardial relaxation time constant (τ), chamber stiffness (Eed), and end-diastolic pressure (EDP). We developed a physics-informed neural network (PINN) that estimates seven hemodynamic parameters from 11 standard echocardiographic inputs by embedding cardiovascular physiology equations as an inductive bias, trained entirely on simulation data to eliminate circularity and data leakage.</w:t>
      </w:r>
    </w:p>
    <w:p>
      <w:pPr>
        <w:spacing w:after="120" w:before="0" w:line="360"/>
        <w:jc w:val="both"/>
      </w:pPr>
      <w:r>
        <w:rPr>
          <w:rFonts w:ascii="Times New Roman" w:cs="Times New Roman" w:eastAsia="Times New Roman" w:hAnsi="Times New Roman"/>
          <w:b/>
          <w:bCs/>
          <w:sz w:val="24"/>
          <w:szCs w:val="24"/>
        </w:rPr>
        <w:t xml:space="preserve">Methods: </w:t>
      </w:r>
      <w:r>
        <w:rPr>
          <w:rFonts w:ascii="Times New Roman" w:cs="Times New Roman" w:eastAsia="Times New Roman" w:hAnsi="Times New Roman"/>
          <w:sz w:val="24"/>
          <w:szCs w:val="24"/>
        </w:rPr>
        <w:t xml:space="preserve">The PINN architecture consists of an encoder mapping 11 echocardiographic features to 7 latent physiological parameters, followed by a physics decoder enforcing end-diastolic pressure–volume relationships (EDPVR), Chen–Shishido systolic elastance, and arterial elastance equations. Training data were generated from a first-principles diastolic physiology simulator encompassing six cardiac phenotypes. External validation was performed using the MIMIC-IV clinical database (N = 26,823 subjects) across three tiers: (A) invasive pulmonary capillary wedge pressure (PCWP; N = 1,692), (B) diastolic dysfunction grade classification (N = 5,156), and (C) mortality outcome prediction (N = 24,745).</w:t>
      </w:r>
    </w:p>
    <w:p>
      <w:pPr>
        <w:spacing w:after="120" w:before="0" w:line="360"/>
        <w:jc w:val="both"/>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In Tier A, PINN-estimated EDP correlated with invasive PCWP (ρ = 0.228, p &lt; 0.001), with significant independent information beyond E/e’ (partial ρ = 0.156). In Tier B, PINN-estimated efficiency showed the strongest construct validity for diastolic dysfunction grading (partial ρ = −0.277). In Tier C, adding PINN outputs to a clinical model (age + ejection fraction + E/e’) improved hospital mortality prediction (AUC 0.579 → 0.623, ΔAUC = +0.044) and all-cause mortality prediction (AUC 0.647 → 0.668, ΔAUC = +0.021) in 5-fold cross-validation.</w:t>
      </w:r>
    </w:p>
    <w:p>
      <w:pPr>
        <w:spacing w:after="120" w:before="0" w:line="360"/>
        <w:jc w:val="both"/>
      </w:pPr>
      <w:r>
        <w:rPr>
          <w:rFonts w:ascii="Times New Roman" w:cs="Times New Roman" w:eastAsia="Times New Roman" w:hAnsi="Times New Roman"/>
          <w:b/>
          <w:bCs/>
          <w:sz w:val="24"/>
          <w:szCs w:val="24"/>
        </w:rPr>
        <w:t xml:space="preserve">Conclusions: </w:t>
      </w:r>
      <w:r>
        <w:rPr>
          <w:rFonts w:ascii="Times New Roman" w:cs="Times New Roman" w:eastAsia="Times New Roman" w:hAnsi="Times New Roman"/>
          <w:sz w:val="24"/>
          <w:szCs w:val="24"/>
        </w:rPr>
        <w:t xml:space="preserve">A physics-informed neural network trained on simulation data can extract clinically meaningful hemodynamic information from standard echocardiography that is independent of existing surrogates and incrementally predictive of patient outcomes. This approach demonstrates a viable pathway for non-invasive, patient-specific hemodynamic phenotyping without requiring invasive catheterization data for model training.</w:t>
      </w:r>
    </w:p>
    <w:p>
      <w:r>
        <w:br w:type="page"/>
      </w:r>
    </w:p>
    <w:p>
      <w:pPr>
        <w:pStyle w:val="Heading1"/>
        <w:spacing w:after="120" w:before="240" w:line="360"/>
      </w:pPr>
      <w:r>
        <w:rPr>
          <w:rFonts w:ascii="Times New Roman" w:cs="Times New Roman" w:eastAsia="Times New Roman" w:hAnsi="Times New Roman"/>
          <w:b/>
          <w:bCs/>
          <w:sz w:val="28"/>
          <w:szCs w:val="28"/>
        </w:rPr>
        <w:t xml:space="preserve">Introduction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Diastolic dysfunction is a hallmark of heart failure with preserved ejection fraction (HFpEF) and contributes to morbidity in a broad spectrum of cardiovascular conditions including hypertension, diabetes, and aging. Accurate quantification of diastolic function requires invasive hemodynamic catheterization to measure parameters such as the left ventricular end-diastolic pressure (LVEDP), the time constant of isovolumic relaxation (τ), and diastolic chamber stiffness (Eed). In clinical practice, however, non-invasive echocardiographic surrogates—primarily the ratio of early mitral inflow velocity to mitral annular velocity (E/e’)—are used as proxies for filling pressure.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Despite its widespread adoption, E/e’ has well-documented limitations. The 2016 ASE/EACVI guidelines acknowledge an indeterminate zone (E/e’ 8–13) where filling pressures cannot be reliably classified. Multiple studies have shown that E/e’ correlates only moderately with invasively measured filling pressures (r ≈ 0.6–0.7), and the same E/e’ value can correspond to markedly different hemodynamic states depending on the underlying pathophysiology—a patient with impaired relaxation and normal compliance may have the same E/e’ as a patient with pseudonormalized filling and elevated stiffness.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Physics-informed neural networks (PINNs) offer a principled framework for integrating domain knowledge into data-driven models. By embedding known physical laws as architectural constraints rather than learned associations, PINNs can enforce physiological consistency while leveraging the representational capacity of neural networks. This approach is particularly appealing for hemodynamic estimation, where the governing equations (pressure–volume relationships, elastance models) are well-established but the mapping from non-invasive measurements to latent parameters is underdetermined.</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 critical challenge in applying PINNs to clinical hemodynamics is avoiding circularity. If a model is trained to predict EDP from E/e’ using labels derived from the Nagueh formula (EDP ≈ 1.24 × E/e’ + 1.9), it merely reproduces the formula and offers no added value. We address this by generating training data from a first-principles diastolic physiology simulator in which E/e’ emerges as a complex, nonlinear function of relaxation (τ), stiffness (Eed), suction pressure, and left atrial pressure—rather than being prescribed by any single formula.</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In this study, we present a PINN that estimates seven hemodynamic parameters from 11 standard echocardiographic inputs, trained entirely on physiology-based simulation data and externally validated on 26,823 patients from the MIMIC-IV clinical database. We evaluate the model across three validation tiers: (A) correlation with invasive pulmonary capillary wedge pressure (PCWP) in 1,692 patients with Swan–Ganz catheterization, (B) construct validity against echocardiographic diastolic dysfunction grading in 5,156 patients, and (C) incremental predictive value for hospital and all-cause mortality in 24,745 patients.</w:t>
      </w:r>
    </w:p>
    <w:p>
      <w:r>
        <w:br w:type="page"/>
      </w:r>
    </w:p>
    <w:p>
      <w:pPr>
        <w:pStyle w:val="Heading1"/>
        <w:spacing w:after="120" w:before="240" w:line="360"/>
      </w:pPr>
      <w:r>
        <w:rPr>
          <w:rFonts w:ascii="Times New Roman" w:cs="Times New Roman" w:eastAsia="Times New Roman" w:hAnsi="Times New Roman"/>
          <w:b/>
          <w:bCs/>
          <w:sz w:val="28"/>
          <w:szCs w:val="28"/>
        </w:rPr>
        <w:t xml:space="preserve">Methods</w:t>
      </w:r>
    </w:p>
    <w:p>
      <w:pPr>
        <w:pStyle w:val="Heading2"/>
        <w:spacing w:after="120" w:before="200" w:line="360"/>
      </w:pPr>
      <w:r>
        <w:rPr>
          <w:rFonts w:ascii="Times New Roman" w:cs="Times New Roman" w:eastAsia="Times New Roman" w:hAnsi="Times New Roman"/>
          <w:b/>
          <w:bCs/>
          <w:sz w:val="24"/>
          <w:szCs w:val="24"/>
        </w:rPr>
        <w:t xml:space="preserve">Study Design and Data Sources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study employed a simulation-to-real transfer design: the PINN was trained exclusively on physiology-based simulated data and validated on real clinical data from the MIMIC-IV database (version 3.1). This design eliminates the possibility of data leakage between training and validation sets, as they are derived from entirely different data-generating processes.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MIMIC-IV is a publicly available critical care database comprising de-identified electronic health records from Beth Israel Deaconess Medical Center (2008–2022). We extracted echocardiographic measurements from the MIMIC-IV-ECHO module, yielding 35,540 measurements from 26,823 unique subjects. The study was conducted under the MIMIC-IV Data Use Agreement (PhysioNet credentialed access).</w:t>
      </w:r>
    </w:p>
    <w:p>
      <w:pPr>
        <w:pStyle w:val="Heading2"/>
        <w:spacing w:after="120" w:before="200" w:line="360"/>
      </w:pPr>
      <w:r>
        <w:rPr>
          <w:rFonts w:ascii="Times New Roman" w:cs="Times New Roman" w:eastAsia="Times New Roman" w:hAnsi="Times New Roman"/>
          <w:b/>
          <w:bCs/>
          <w:sz w:val="24"/>
          <w:szCs w:val="24"/>
        </w:rPr>
        <w:t xml:space="preserve">PINN Architecture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model architecture consists of two components: an encoder network and a physics-based decoder (Figure 1).</w:t>
      </w:r>
    </w:p>
    <w:p>
      <w:pPr>
        <w:spacing w:after="120" w:before="0" w:line="360"/>
        <w:jc w:val="both"/>
      </w:pPr>
      <w:r>
        <w:rPr>
          <w:rFonts w:ascii="Times New Roman" w:cs="Times New Roman" w:eastAsia="Times New Roman" w:hAnsi="Times New Roman"/>
          <w:b/>
          <w:bCs/>
          <w:sz w:val="24"/>
          <w:szCs w:val="24"/>
        </w:rPr>
        <w:t xml:space="preserve">Encoder. </w:t>
      </w:r>
      <w:r>
        <w:rPr>
          <w:rFonts w:ascii="Times New Roman" w:cs="Times New Roman" w:eastAsia="Times New Roman" w:hAnsi="Times New Roman"/>
          <w:sz w:val="24"/>
          <w:szCs w:val="24"/>
        </w:rPr>
        <w:t xml:space="preserve">A four-layer multilayer perceptron (11 → 256 → 128 → 64 → 7) with SiLU activation, batch normalization, and 10% dropout maps 11 echocardiographic inputs (EF, EDV, ESV, SBP, DBP, HR, CO, E/e’, E/A, DT, LAVI) to 7 latent physiological parameters (Ees correction, Eed, V0, EDPVR scaling factor A, τ, arterial elastance, Ea gate).</w:t>
      </w:r>
    </w:p>
    <w:p>
      <w:pPr>
        <w:spacing w:after="120" w:before="0" w:line="360"/>
        <w:jc w:val="both"/>
      </w:pPr>
      <w:r>
        <w:rPr>
          <w:rFonts w:ascii="Times New Roman" w:cs="Times New Roman" w:eastAsia="Times New Roman" w:hAnsi="Times New Roman"/>
          <w:b/>
          <w:bCs/>
          <w:sz w:val="24"/>
          <w:szCs w:val="24"/>
        </w:rPr>
        <w:t xml:space="preserve">Physics Decoder. </w:t>
      </w:r>
      <w:r>
        <w:rPr>
          <w:rFonts w:ascii="Times New Roman" w:cs="Times New Roman" w:eastAsia="Times New Roman" w:hAnsi="Times New Roman"/>
          <w:sz w:val="24"/>
          <w:szCs w:val="24"/>
        </w:rPr>
        <w:t xml:space="preserve">The decoder converts latent parameters into 7 physiological outputs using embedded equations: (1) End-diastolic pressure via the exponential EDPVR: EDP = A × exp(Eed × (EDV − V0)); (2) Systolic elastance via the Chen–Shishido single-beat method with a learned correction factor; (3) Arterial elastance via a gated blend of physics-derived (ESP/SV) and learned values; (4) Ventricular–arterial coupling (Ea/Ees); (5) Mechanical efficiency (stroke work / pressure–volume area); (6) Relaxation time constant τ via bounded sigmoid output [25–90 ms].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Critically, the physics decoder contains no Nagueh formula or any direct algebraic relationship between E/e’ and EDP. The EDP is computed solely from the EDPVR equation, ensuring that any correlation between PINN-estimated EDP and E/e’ must be learned through the physiological pathway rather than a trivial formula reproduction.</w:t>
      </w:r>
    </w:p>
    <w:p>
      <w:pPr>
        <w:pStyle w:val="Heading2"/>
        <w:spacing w:after="120" w:before="200" w:line="360"/>
      </w:pPr>
      <w:r>
        <w:rPr>
          <w:rFonts w:ascii="Times New Roman" w:cs="Times New Roman" w:eastAsia="Times New Roman" w:hAnsi="Times New Roman"/>
          <w:b/>
          <w:bCs/>
          <w:sz w:val="24"/>
          <w:szCs w:val="24"/>
        </w:rPr>
        <w:t xml:space="preserve">Physiology-Based Training Data Generation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Training data were generated from a first-principles cardiovascular simulator that models six cardiac phenotypes: normal (25%), HFrEF (15%), HFpEF (20%), hypertensive heart disease (15%), age-related diastolic dysfunction (15%), and athlete’s heart (10%). For each phenotype, base physiological parameters (Ees, Eed, EDV, HR, SBP, τ, target EDP) were sampled from literature-derived ranges.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key innovation of this simulator is its generation of E/e’ from first-principles diastolic physiology rather than from the Nagueh formula. Mitral annular velocity (e’) was modeled as a function of both active relaxation and passive stiffness: e’ = e’base × √(τref/τ) × exp(−k × (Eed − Eed,ref)). Early mitral inflow velocity (E) was derived from the transmitral pressure gradient incorporating LV suction and pseudonormalization effects. E/e’ thus emerges as a complex, nonlinear function of (τ, Eed, EDP, suction, LAP)—not a prescribed linear function of EDP.</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Calibration verified that the simulated E/e’–EDP correlation (Pearson r ≈ 0.7–0.85) matches literature values without exceeding 0.95, which would indicate residual circularity. In the gray zone (E/e’ 8–13), EDP showed substantial variance driven by differences in τ, confirming that the simulator provides the PINN with disambiguating signal.</w:t>
      </w:r>
    </w:p>
    <w:p>
      <w:pPr>
        <w:pStyle w:val="Heading2"/>
        <w:spacing w:after="120" w:before="200" w:line="360"/>
      </w:pPr>
      <w:r>
        <w:rPr>
          <w:rFonts w:ascii="Times New Roman" w:cs="Times New Roman" w:eastAsia="Times New Roman" w:hAnsi="Times New Roman"/>
          <w:b/>
          <w:bCs/>
          <w:sz w:val="24"/>
          <w:szCs w:val="24"/>
        </w:rPr>
        <w:t xml:space="preserve">Model Training</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From 15,000 simulated patients, approximately 12,000 passed physiological validity filters (EF 10–90%, SV &gt; 10 mL, Ea 0.3–8.0 mmHg/mL). The model was trained for 200 epochs using Adam optimizer with cosine annealing learning rate schedule (initial lr = 10⁻³), batch size 256, and weighted MSE loss emphasizing diastolic outputs (Eed × 5, EDP × 3, τ × 2). Gaussian noise (5% for volumes, 10–12% for Doppler) was added to simulate clinical measurement variability.</w:t>
      </w:r>
    </w:p>
    <w:p>
      <w:pPr>
        <w:pStyle w:val="Heading2"/>
        <w:spacing w:after="120" w:before="200" w:line="360"/>
      </w:pPr>
      <w:r>
        <w:rPr>
          <w:rFonts w:ascii="Times New Roman" w:cs="Times New Roman" w:eastAsia="Times New Roman" w:hAnsi="Times New Roman"/>
          <w:b/>
          <w:bCs/>
          <w:sz w:val="24"/>
          <w:szCs w:val="24"/>
        </w:rPr>
        <w:t xml:space="preserve">External Validation</w:t>
      </w:r>
    </w:p>
    <w:p>
      <w:pPr>
        <w:spacing w:after="120" w:before="0" w:line="360"/>
        <w:jc w:val="both"/>
      </w:pPr>
      <w:r>
        <w:rPr>
          <w:rFonts w:ascii="Times New Roman" w:cs="Times New Roman" w:eastAsia="Times New Roman" w:hAnsi="Times New Roman"/>
          <w:b/>
          <w:bCs/>
          <w:sz w:val="24"/>
          <w:szCs w:val="24"/>
        </w:rPr>
        <w:t xml:space="preserve">Tier A: Invasive PCWP Validation. </w:t>
      </w:r>
      <w:r>
        <w:rPr>
          <w:rFonts w:ascii="Times New Roman" w:cs="Times New Roman" w:eastAsia="Times New Roman" w:hAnsi="Times New Roman"/>
          <w:sz w:val="24"/>
          <w:szCs w:val="24"/>
        </w:rPr>
        <w:t xml:space="preserve">Among 26,823 echo subjects, 1,692 had concurrent pulmonary capillary wedge pressure measurements from Swan–Ganz catheterization (itemid 220059 in MIMIC-IV chartevents). PCWP serves as a clinically accepted surrogate for LVEDP. Per-subject mean PCWP and mean echocardiographic parameters were computed. Spearman and partial Spearman correlations (controlling for E/e’) assessed independent information. Incremental discriminative ability was evaluated using 5-fold cross-validated logistic regression for detecting elevated PCWP at multiple thresholds.</w:t>
      </w:r>
    </w:p>
    <w:p>
      <w:pPr>
        <w:spacing w:after="120" w:before="0" w:line="360"/>
        <w:jc w:val="both"/>
      </w:pPr>
      <w:r>
        <w:rPr>
          <w:rFonts w:ascii="Times New Roman" w:cs="Times New Roman" w:eastAsia="Times New Roman" w:hAnsi="Times New Roman"/>
          <w:b/>
          <w:bCs/>
          <w:sz w:val="24"/>
          <w:szCs w:val="24"/>
        </w:rPr>
        <w:t xml:space="preserve">Tier B: Construct Validity (Diastolic Dysfunction Grade). </w:t>
      </w:r>
      <w:r>
        <w:rPr>
          <w:rFonts w:ascii="Times New Roman" w:cs="Times New Roman" w:eastAsia="Times New Roman" w:hAnsi="Times New Roman"/>
          <w:sz w:val="24"/>
          <w:szCs w:val="24"/>
        </w:rPr>
        <w:t xml:space="preserve">Among subjects with available diastolic dysfunction grading (N = 5,156; Normal: 2,182, Grade I: 1,769, Grade II: 945, Grade III: 260), we evaluated physiological consistency by computing partial Spearman correlations between each PINN output and ordinal DD grade (0–3), controlling for E/e’. Subjects with indeterminate or unclassifiable grades were excluded.</w:t>
      </w:r>
    </w:p>
    <w:p>
      <w:pPr>
        <w:spacing w:after="120" w:before="0" w:line="360"/>
        <w:jc w:val="both"/>
      </w:pPr>
      <w:r>
        <w:rPr>
          <w:rFonts w:ascii="Times New Roman" w:cs="Times New Roman" w:eastAsia="Times New Roman" w:hAnsi="Times New Roman"/>
          <w:b/>
          <w:bCs/>
          <w:sz w:val="24"/>
          <w:szCs w:val="24"/>
        </w:rPr>
        <w:t xml:space="preserve">Tier C: Mortality Outcome Prediction. </w:t>
      </w:r>
      <w:r>
        <w:rPr>
          <w:rFonts w:ascii="Times New Roman" w:cs="Times New Roman" w:eastAsia="Times New Roman" w:hAnsi="Times New Roman"/>
          <w:sz w:val="24"/>
          <w:szCs w:val="24"/>
        </w:rPr>
        <w:t xml:space="preserve">Using MIMIC-IV admissions (hospital_expire_flag) and patients tables (date of death), we assessed incremental prognostic value. Among 24,745 subjects with linked outcome data, 1,842 (7.4%) experienced in-hospital death and 5,118 (20.7%) had documented all-cause mortality. A clinical baseline model (age + EF + E/e’) was compared with a clinical + PINN model using 5-fold cross-validated AUC.</w:t>
      </w:r>
    </w:p>
    <w:p>
      <w:pPr>
        <w:pStyle w:val="Heading2"/>
        <w:spacing w:after="120" w:before="200" w:line="360"/>
      </w:pPr>
      <w:r>
        <w:rPr>
          <w:rFonts w:ascii="Times New Roman" w:cs="Times New Roman" w:eastAsia="Times New Roman" w:hAnsi="Times New Roman"/>
          <w:b/>
          <w:bCs/>
          <w:sz w:val="24"/>
          <w:szCs w:val="24"/>
        </w:rPr>
        <w:t xml:space="preserve">Statistical Analysis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Continuous variables are reported as mean ± standard deviation. Spearman rank correlation was used for bivariate associations. Partial Spearman correlation was computed by regressing ranks of both variables on confounders and correlating residuals. Incremental discriminative ability was assessed using the difference in 5-fold cross-validated AUC (ΔAUC) between nested logistic regression models. All analyses were performed using Python 3.11 with scipy, scikit-learn, and PyTorch 2.0.</w:t>
      </w:r>
    </w:p>
    <w:p>
      <w:r>
        <w:br w:type="page"/>
      </w:r>
    </w:p>
    <w:p>
      <w:pPr>
        <w:pStyle w:val="Heading1"/>
        <w:spacing w:after="120" w:before="240" w:line="360"/>
      </w:pPr>
      <w:r>
        <w:rPr>
          <w:rFonts w:ascii="Times New Roman" w:cs="Times New Roman" w:eastAsia="Times New Roman" w:hAnsi="Times New Roman"/>
          <w:b/>
          <w:bCs/>
          <w:sz w:val="28"/>
          <w:szCs w:val="28"/>
        </w:rPr>
        <w:t xml:space="preserve">Results</w:t>
      </w:r>
    </w:p>
    <w:p>
      <w:pPr>
        <w:pStyle w:val="Heading2"/>
        <w:spacing w:after="120" w:before="200" w:line="360"/>
      </w:pPr>
      <w:r>
        <w:rPr>
          <w:rFonts w:ascii="Times New Roman" w:cs="Times New Roman" w:eastAsia="Times New Roman" w:hAnsi="Times New Roman"/>
          <w:b/>
          <w:bCs/>
          <w:sz w:val="24"/>
          <w:szCs w:val="24"/>
        </w:rPr>
        <w:t xml:space="preserve">Study Population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MIMIC-IV echocardiography cohort comprised 26,823 unique subjects (51.1% male) with 35,540 measurements. Table 1 summarizes the baseline characteristics. The mean age was 61.5 ± 16.1 years, mean EF 59.5 ± 10.9%, and mean E/e’ 10.5 ± 4.7, reflecting a mixed population of critically ill patients with a broad range of diastolic function.</w:t>
      </w:r>
    </w:p>
    <w:p>
      <w:pPr>
        <w:spacing w:after="60" w:before="0" w:line="360"/>
        <w:jc w:val="both"/>
      </w:pPr>
      <w:r>
        <w:rPr>
          <w:rFonts w:ascii="Times New Roman" w:cs="Times New Roman" w:eastAsia="Times New Roman" w:hAnsi="Times New Roman"/>
          <w:b/>
          <w:bCs/>
          <w:i w:val="false"/>
          <w:iCs w:val="false"/>
          <w:sz w:val="22"/>
          <w:szCs w:val="22"/>
        </w:rPr>
        <w:t xml:space="preserve">Table 1. Baseline Characteristics of the MIMIC-IV Echocardiography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Characteristic</w:t>
            </w:r>
          </w:p>
        </w:tc>
        <w:tc>
          <w:tcPr>
            <w:tcW w:type="dxa" w:w="232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All (N = 26,823)</w:t>
            </w:r>
          </w:p>
        </w:tc>
        <w:tc>
          <w:tcPr>
            <w:tcW w:type="dxa" w:w="232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PCWP (N = 1,692)</w:t>
            </w:r>
          </w:p>
        </w:tc>
        <w:tc>
          <w:tcPr>
            <w:tcW w:type="dxa" w:w="232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DD Graded (N = 5,156)</w:t>
            </w:r>
          </w:p>
        </w:tc>
      </w:tr>
      <w:tr>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Age (years)</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61.5 ± 16.1</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w:t>
            </w:r>
          </w:p>
        </w:tc>
      </w:tr>
      <w:tr>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Male sex, n (%)</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12,635 (51.1%)</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w:t>
            </w:r>
          </w:p>
        </w:tc>
      </w:tr>
      <w:tr>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EF (%)</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59.5 ± 10.9</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52.1 ± 15.4</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59.7 ± 10.8</w:t>
            </w:r>
          </w:p>
        </w:tc>
      </w:tr>
      <w:tr>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EDV (mL)</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95.4 ± 37.6</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117.5 ± 51.4</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95.1 ± 37.3</w:t>
            </w:r>
          </w:p>
        </w:tc>
      </w:tr>
      <w:tr>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ESV (mL)</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38.1 ± 26.2</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56.8 ± 42.7</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38.0 ± 26.6</w:t>
            </w:r>
          </w:p>
        </w:tc>
      </w:tr>
      <w:tr>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SBP (mmHg)</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129.4 ± 20.1</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126.6 ± 19.9</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130.5 ± 20.0</w:t>
            </w:r>
          </w:p>
        </w:tc>
      </w:tr>
      <w:tr>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DBP (mmHg)</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73.0 ± 11.6</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71.1 ± 11.4</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73.0 ± 11.3</w:t>
            </w:r>
          </w:p>
        </w:tc>
      </w:tr>
      <w:tr>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HR (bpm)</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73.1 ± 13.9</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73.0 ± 13.6</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72.9 ± 13.1</w:t>
            </w:r>
          </w:p>
        </w:tc>
      </w:tr>
      <w:tr>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CO (L/min)</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4.1 ± 1.6</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4.4 ± 1.9</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4.1 ± 1.6</w:t>
            </w:r>
          </w:p>
        </w:tc>
      </w:tr>
      <w:tr>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E/e’</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10.5 ± 4.7</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13.0 ± 6.0</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10.9 ± 4.7</w:t>
            </w:r>
          </w:p>
        </w:tc>
      </w:tr>
      <w:tr>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E/A ratio</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1.1 ± 0.5</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1.3 ± 0.7</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1.1 ± 0.6</w:t>
            </w:r>
          </w:p>
        </w:tc>
      </w:tr>
      <w:tr>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DT (ms)</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213.7 ± 59.5</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212.6 ± 64.0</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214.8 ± 57.8</w:t>
            </w:r>
          </w:p>
        </w:tc>
      </w:tr>
      <w:tr>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LAVI (mL/m²)</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29.0 ± 11.5</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34.5 ± 13.2</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29.8 ± 11.3</w:t>
            </w:r>
          </w:p>
        </w:tc>
      </w:tr>
      <w:tr>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PCWP (mmHg)</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35.0 ± 11.5</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w:t>
            </w:r>
          </w:p>
        </w:tc>
      </w:tr>
      <w:tr>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Hospital death, n (%)</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1,842 (7.4%)</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213 (12.6%)</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485 (8.0%)</w:t>
            </w:r>
          </w:p>
        </w:tc>
      </w:tr>
      <w:tr>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All-cause death, n (%)</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5,118 (20.7%)</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w:t>
            </w:r>
          </w:p>
        </w:tc>
        <w:tc>
          <w:tcPr>
            <w:tcW w:type="dxa" w:w="232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w:t>
            </w:r>
          </w:p>
        </w:tc>
      </w:tr>
    </w:tbl>
    <w:p>
      <w:pPr>
        <w:spacing w:after="200" w:before="0" w:line="360"/>
        <w:jc w:val="both"/>
      </w:pPr>
      <w:r>
        <w:rPr>
          <w:rFonts w:ascii="Times New Roman" w:cs="Times New Roman" w:eastAsia="Times New Roman" w:hAnsi="Times New Roman"/>
          <w:b w:val="false"/>
          <w:bCs w:val="false"/>
          <w:i/>
          <w:iCs/>
          <w:sz w:val="20"/>
          <w:szCs w:val="20"/>
        </w:rPr>
        <w:t xml:space="preserve">Values are mean ± SD or n (%). Age and sex available for outcome cohort (N = 24,745). PCWP = pulmonary capillary wedge pressure; DD = diastolic dysfunction; LAVI = left atrial volume index.</w:t>
      </w:r>
    </w:p>
    <w:p>
      <w:pPr>
        <w:pStyle w:val="Heading2"/>
        <w:spacing w:after="120" w:before="200" w:line="360"/>
      </w:pPr>
      <w:r>
        <w:rPr>
          <w:rFonts w:ascii="Times New Roman" w:cs="Times New Roman" w:eastAsia="Times New Roman" w:hAnsi="Times New Roman"/>
          <w:b/>
          <w:bCs/>
          <w:sz w:val="24"/>
          <w:szCs w:val="24"/>
        </w:rPr>
        <w:t xml:space="preserve">Tier A: Invasive PCWP Validation (N = 1,692)</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Among the 1,692 subjects with both echocardiographic data and invasive PCWP measurements, the mean PCWP was 35.0 ± 11.5 mmHg, reflecting a critically ill population with predominantly elevated filling pressures. PINN-estimated EDP showed a significant Spearman correlation with invasive PCWP (ρ = 0.228, p &lt; 0.001). After controlling for E/e’ via partial Spearman correlation, PINN EDP retained significant independent association with PCWP (partial ρ = 0.156, p &lt; 0.001), demonstrating that the PINN extracts information beyond what E/e’ alone provides.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Table 2 presents the standalone and incremental AUC for detecting elevated PCWP at multiple thresholds. The largest incremental gain was observed at PCWP ≥ 40 mmHg (ΔAUC = +0.039), consistent with PINN outputs providing the most added value in the extreme hemodynamic range where conventional surrogates are least reliable.</w:t>
      </w:r>
    </w:p>
    <w:p>
      <w:pPr>
        <w:spacing w:after="60" w:before="0" w:line="360"/>
        <w:jc w:val="both"/>
      </w:pPr>
      <w:r>
        <w:rPr>
          <w:rFonts w:ascii="Times New Roman" w:cs="Times New Roman" w:eastAsia="Times New Roman" w:hAnsi="Times New Roman"/>
          <w:b/>
          <w:bCs/>
          <w:i w:val="false"/>
          <w:iCs w:val="false"/>
          <w:sz w:val="22"/>
          <w:szCs w:val="22"/>
        </w:rPr>
        <w:t xml:space="preserve">Table 2. Discriminative Performance for Elevated PCWP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000"/>
        <w:gridCol w:w="2160"/>
        <w:gridCol w:w="2000"/>
      </w:tblGrid>
      <w:tr>
        <w:tc>
          <w:tcPr>
            <w:tcW w:type="dxa" w:w="2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PCWP Threshold</w:t>
            </w:r>
          </w:p>
        </w:tc>
        <w:tc>
          <w:tcPr>
            <w:tcW w:type="dxa" w:w="12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N+</w:t>
            </w:r>
          </w:p>
        </w:tc>
        <w:tc>
          <w:tcPr>
            <w:tcW w:type="dxa" w:w="2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E/e’ Alone</w:t>
            </w:r>
          </w:p>
        </w:tc>
        <w:tc>
          <w:tcPr>
            <w:tcW w:type="dxa" w:w="216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E/e’ + All PINN</w:t>
            </w:r>
          </w:p>
        </w:tc>
        <w:tc>
          <w:tcPr>
            <w:tcW w:type="dxa" w:w="2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ΔAUC</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≥25 mmHg</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438</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0.636</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0.667</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+0.031</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≥30 mmHg</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241</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0.651</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0.678</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+0.027</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≥35 mmHg</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142</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0.659</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0.692</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+0.033</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≥40 mmHg</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78</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0.672</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0.711</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+0.039</w:t>
            </w:r>
          </w:p>
        </w:tc>
      </w:tr>
    </w:tbl>
    <w:p>
      <w:pPr>
        <w:spacing w:after="200" w:before="0" w:line="360"/>
        <w:jc w:val="both"/>
      </w:pPr>
      <w:r>
        <w:rPr>
          <w:rFonts w:ascii="Times New Roman" w:cs="Times New Roman" w:eastAsia="Times New Roman" w:hAnsi="Times New Roman"/>
          <w:b w:val="false"/>
          <w:bCs w:val="false"/>
          <w:i/>
          <w:iCs/>
          <w:sz w:val="20"/>
          <w:szCs w:val="20"/>
        </w:rPr>
        <w:t xml:space="preserve">AUC: area under the ROC curve, 5-fold cross-validated logistic regression.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Table 3 summarizes the Spearman and partial Spearman correlations between each PINN output and invasive PCWP. Among the seven PINN outputs, arterial elastance (Ea; partial ρ = 0.136) and mechanical efficiency (partial ρ = −0.128) provided the strongest independent associations with PCWP after controlling for E/e’, suggesting that vascular load and energetic efficiency capture aspects of filling pressure elevation not reflected in E/e’ alone.</w:t>
      </w:r>
    </w:p>
    <w:p>
      <w:pPr>
        <w:spacing w:after="60" w:before="0" w:line="360"/>
        <w:jc w:val="both"/>
      </w:pPr>
      <w:r>
        <w:rPr>
          <w:rFonts w:ascii="Times New Roman" w:cs="Times New Roman" w:eastAsia="Times New Roman" w:hAnsi="Times New Roman"/>
          <w:b/>
          <w:bCs/>
          <w:i w:val="false"/>
          <w:iCs w:val="false"/>
          <w:sz w:val="22"/>
          <w:szCs w:val="22"/>
        </w:rPr>
        <w:t xml:space="preserve">Table 3. Correlation of PINN Outputs with Invasive PCWP (N = 1,692)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2560"/>
        <w:gridCol w:w="2000"/>
      </w:tblGrid>
      <w:tr>
        <w:tc>
          <w:tcPr>
            <w:tcW w:type="dxa" w:w="18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PINN Output</w:t>
            </w:r>
          </w:p>
        </w:tc>
        <w:tc>
          <w:tcPr>
            <w:tcW w:type="dxa" w:w="16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Spearman ρ</w:t>
            </w:r>
          </w:p>
        </w:tc>
        <w:tc>
          <w:tcPr>
            <w:tcW w:type="dxa" w:w="14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p-value</w:t>
            </w:r>
          </w:p>
        </w:tc>
        <w:tc>
          <w:tcPr>
            <w:tcW w:type="dxa" w:w="256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Partial ρ (ctrl E/e’)</w:t>
            </w:r>
          </w:p>
        </w:tc>
        <w:tc>
          <w:tcPr>
            <w:tcW w:type="dxa" w:w="2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p-value</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EDP</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+0.228</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&lt; 0.001</w:t>
            </w:r>
          </w:p>
        </w:tc>
        <w:tc>
          <w:tcPr>
            <w:tcW w:type="dxa" w:w="2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+0.156</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&lt; 0.001</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Ea</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+0.198</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&lt; 0.001</w:t>
            </w:r>
          </w:p>
        </w:tc>
        <w:tc>
          <w:tcPr>
            <w:tcW w:type="dxa" w:w="2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+0.136</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&lt; 0.001</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Efficiency</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−0.185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&lt; 0.001</w:t>
            </w:r>
          </w:p>
        </w:tc>
        <w:tc>
          <w:tcPr>
            <w:tcW w:type="dxa" w:w="2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−0.128</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&lt; 0.001</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Eed</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+0.142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&lt; 0.001</w:t>
            </w:r>
          </w:p>
        </w:tc>
        <w:tc>
          <w:tcPr>
            <w:tcW w:type="dxa" w:w="2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+0.077</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0.002</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τ</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+0.108</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&lt; 0.001</w:t>
            </w:r>
          </w:p>
        </w:tc>
        <w:tc>
          <w:tcPr>
            <w:tcW w:type="dxa" w:w="2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+0.062</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0.011</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Ees</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+0.095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&lt; 0.001</w:t>
            </w:r>
          </w:p>
        </w:tc>
        <w:tc>
          <w:tcPr>
            <w:tcW w:type="dxa" w:w="2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+0.041</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0.093</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Coupling</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+0.072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0.003</w:t>
            </w:r>
          </w:p>
        </w:tc>
        <w:tc>
          <w:tcPr>
            <w:tcW w:type="dxa" w:w="2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+0.023</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0.348</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E/e’ (reference)</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+0.312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&lt; 0.001</w:t>
            </w:r>
          </w:p>
        </w:tc>
        <w:tc>
          <w:tcPr>
            <w:tcW w:type="dxa" w:w="25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w:t>
            </w:r>
          </w:p>
        </w:tc>
      </w:tr>
    </w:tbl>
    <w:p>
      <w:pPr>
        <w:spacing w:after="200" w:before="0" w:line="360"/>
        <w:jc w:val="both"/>
      </w:pPr>
      <w:r>
        <w:rPr>
          <w:rFonts w:ascii="Times New Roman" w:cs="Times New Roman" w:eastAsia="Times New Roman" w:hAnsi="Times New Roman"/>
          <w:b w:val="false"/>
          <w:bCs w:val="false"/>
          <w:i/>
          <w:iCs/>
          <w:sz w:val="20"/>
          <w:szCs w:val="20"/>
        </w:rPr>
        <w:t xml:space="preserve">Partial Spearman correlation controls for E/e’ to assess independent information content.</w:t>
      </w:r>
    </w:p>
    <w:p>
      <w:pPr>
        <w:pStyle w:val="Heading2"/>
        <w:spacing w:after="120" w:before="200" w:line="360"/>
      </w:pPr>
      <w:r>
        <w:rPr>
          <w:rFonts w:ascii="Times New Roman" w:cs="Times New Roman" w:eastAsia="Times New Roman" w:hAnsi="Times New Roman"/>
          <w:b/>
          <w:bCs/>
          <w:sz w:val="24"/>
          <w:szCs w:val="24"/>
        </w:rPr>
        <w:t xml:space="preserve">Tier B: Construct Validity — Diastolic Dysfunction Grade (N = 5,156)</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Among 5,156 subjects with classifiable diastolic dysfunction grades (Normal: 2,182; Grade I: 1,769; Grade II: 945; Grade III: 260), PINN-estimated mechanical efficiency demonstrated the strongest construct validity, with a partial Spearman correlation of −0.277 (p &lt; 0.001) with DD grade after controlling for E/e’. This indicates that efficiency captures a dimension of diastolic dysfunction—reflecting the energetic cost of maintaining cardiac output against impaired relaxation and increased stiffness—that is not captured by E/e’ alone. PINN-estimated Ea (partial ρ = +0.168) and Eed (partial ρ = +0.124) also showed significant independent associations with DD grade, consistent with the known pathophysiology of diastolic dysfunction progression.</w:t>
      </w:r>
    </w:p>
    <w:p>
      <w:pPr>
        <w:pStyle w:val="Heading2"/>
        <w:spacing w:after="120" w:before="200" w:line="360"/>
      </w:pPr>
      <w:r>
        <w:rPr>
          <w:rFonts w:ascii="Times New Roman" w:cs="Times New Roman" w:eastAsia="Times New Roman" w:hAnsi="Times New Roman"/>
          <w:b/>
          <w:bCs/>
          <w:sz w:val="24"/>
          <w:szCs w:val="24"/>
        </w:rPr>
        <w:t xml:space="preserve">Tier C: Mortality Outcome Prediction (N = 24,745)</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Table 4 presents the incremental prognostic value of PINN outputs for mortality prediction.</w:t>
      </w:r>
    </w:p>
    <w:p>
      <w:pPr>
        <w:spacing w:after="60" w:before="0" w:line="360"/>
        <w:jc w:val="both"/>
      </w:pPr>
      <w:r>
        <w:rPr>
          <w:rFonts w:ascii="Times New Roman" w:cs="Times New Roman" w:eastAsia="Times New Roman" w:hAnsi="Times New Roman"/>
          <w:b/>
          <w:bCs/>
          <w:i w:val="false"/>
          <w:iCs w:val="false"/>
          <w:sz w:val="22"/>
          <w:szCs w:val="22"/>
        </w:rPr>
        <w:t xml:space="preserve">Table 4. Incremental Prognostic Value for Mortality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Model</w:t>
            </w:r>
          </w:p>
        </w:tc>
        <w:tc>
          <w:tcPr>
            <w:tcW w:type="dxa" w:w="268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Hospital Death AUC</w:t>
            </w:r>
          </w:p>
        </w:tc>
        <w:tc>
          <w:tcPr>
            <w:tcW w:type="dxa" w:w="2680"/>
            <w:tcBorders>
              <w:top w:val="single" w:color="999999" w:sz="1"/>
              <w:left w:val="single" w:color="999999" w:sz="1"/>
              <w:bottom w:val="single" w:color="999999" w:sz="1"/>
              <w:right w:val="single" w:color="999999" w:sz="1"/>
            </w:tcBorders>
            <w:shd w:fill="E8E8E8" w:val="clear"/>
            <w:tcMar>
              <w:top w:type="dxa" w:w="40"/>
              <w:left w:type="dxa" w:w="80"/>
              <w:bottom w:type="dxa" w:w="40"/>
              <w:right w:type="dxa" w:w="80"/>
            </w:tcMar>
          </w:tcPr>
          <w:p>
            <w:pPr>
              <w:spacing w:after="0" w:line="276"/>
              <w:jc w:val="center"/>
            </w:pPr>
            <w:r>
              <w:rPr>
                <w:rFonts w:ascii="Times New Roman" w:cs="Times New Roman" w:eastAsia="Times New Roman" w:hAnsi="Times New Roman"/>
                <w:b/>
                <w:bCs/>
                <w:sz w:val="20"/>
                <w:szCs w:val="20"/>
              </w:rPr>
              <w:t xml:space="preserve">All-Cause Death AUC</w:t>
            </w:r>
          </w:p>
        </w:tc>
      </w:tr>
      <w:tr>
        <w:tc>
          <w:tcPr>
            <w:tcW w:type="dxa" w:w="4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EF alone</w:t>
            </w:r>
          </w:p>
        </w:tc>
        <w:tc>
          <w:tcPr>
            <w:tcW w:type="dxa" w:w="268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0.541</w:t>
            </w:r>
          </w:p>
        </w:tc>
        <w:tc>
          <w:tcPr>
            <w:tcW w:type="dxa" w:w="268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0.582</w:t>
            </w:r>
          </w:p>
        </w:tc>
      </w:tr>
      <w:tr>
        <w:tc>
          <w:tcPr>
            <w:tcW w:type="dxa" w:w="4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E/e’ alone</w:t>
            </w:r>
          </w:p>
        </w:tc>
        <w:tc>
          <w:tcPr>
            <w:tcW w:type="dxa" w:w="268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0.556</w:t>
            </w:r>
          </w:p>
        </w:tc>
        <w:tc>
          <w:tcPr>
            <w:tcW w:type="dxa" w:w="268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0.601</w:t>
            </w:r>
          </w:p>
        </w:tc>
      </w:tr>
      <w:tr>
        <w:tc>
          <w:tcPr>
            <w:tcW w:type="dxa" w:w="4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EF + E/e’</w:t>
            </w:r>
          </w:p>
        </w:tc>
        <w:tc>
          <w:tcPr>
            <w:tcW w:type="dxa" w:w="268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0.563</w:t>
            </w:r>
          </w:p>
        </w:tc>
        <w:tc>
          <w:tcPr>
            <w:tcW w:type="dxa" w:w="268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0.624</w:t>
            </w:r>
          </w:p>
        </w:tc>
      </w:tr>
      <w:tr>
        <w:tc>
          <w:tcPr>
            <w:tcW w:type="dxa" w:w="4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Clinical (Age + EF + E/e’)</w:t>
            </w:r>
          </w:p>
        </w:tc>
        <w:tc>
          <w:tcPr>
            <w:tcW w:type="dxa" w:w="268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0.579</w:t>
            </w:r>
          </w:p>
        </w:tc>
        <w:tc>
          <w:tcPr>
            <w:tcW w:type="dxa" w:w="268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0.647</w:t>
            </w:r>
          </w:p>
        </w:tc>
      </w:tr>
      <w:tr>
        <w:tc>
          <w:tcPr>
            <w:tcW w:type="dxa" w:w="4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Clinical + All PINN</w:t>
            </w:r>
          </w:p>
        </w:tc>
        <w:tc>
          <w:tcPr>
            <w:tcW w:type="dxa" w:w="268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0.623</w:t>
            </w:r>
          </w:p>
        </w:tc>
        <w:tc>
          <w:tcPr>
            <w:tcW w:type="dxa" w:w="268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0.668</w:t>
            </w:r>
          </w:p>
        </w:tc>
      </w:tr>
      <w:tr>
        <w:tc>
          <w:tcPr>
            <w:tcW w:type="dxa" w:w="4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left"/>
            </w:pPr>
            <w:r>
              <w:rPr>
                <w:rFonts w:ascii="Times New Roman" w:cs="Times New Roman" w:eastAsia="Times New Roman" w:hAnsi="Times New Roman"/>
                <w:sz w:val="20"/>
                <w:szCs w:val="20"/>
              </w:rPr>
              <w:t xml:space="preserve">ΔAUC</w:t>
            </w:r>
          </w:p>
        </w:tc>
        <w:tc>
          <w:tcPr>
            <w:tcW w:type="dxa" w:w="268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+0.044</w:t>
            </w:r>
          </w:p>
        </w:tc>
        <w:tc>
          <w:tcPr>
            <w:tcW w:type="dxa" w:w="268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76"/>
              <w:jc w:val="center"/>
            </w:pPr>
            <w:r>
              <w:rPr>
                <w:rFonts w:ascii="Times New Roman" w:cs="Times New Roman" w:eastAsia="Times New Roman" w:hAnsi="Times New Roman"/>
                <w:sz w:val="20"/>
                <w:szCs w:val="20"/>
              </w:rPr>
              <w:t xml:space="preserve">+0.021</w:t>
            </w:r>
          </w:p>
        </w:tc>
      </w:tr>
    </w:tbl>
    <w:p>
      <w:pPr>
        <w:spacing w:after="200" w:before="0" w:line="360"/>
        <w:jc w:val="both"/>
      </w:pPr>
      <w:r>
        <w:rPr>
          <w:rFonts w:ascii="Times New Roman" w:cs="Times New Roman" w:eastAsia="Times New Roman" w:hAnsi="Times New Roman"/>
          <w:b w:val="false"/>
          <w:bCs w:val="false"/>
          <w:i/>
          <w:iCs/>
          <w:sz w:val="20"/>
          <w:szCs w:val="20"/>
        </w:rPr>
        <w:t xml:space="preserve">5-fold cross-validated logistic regression. Clinical model: age, EF, E/e’. Hospital death: 1,842/24,745 (7.4%); All-cause death: 5,118/24,745 (20.7%).</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For in-hospital mortality (1,842 events, 7.4%), adding 7 PINN outputs to the clinical baseline improved the 5-fold cross-validated AUC from 0.579 to 0.623 (ΔAUC = +0.044). For all-cause mortality (5,118 events, 20.7%), the improvement was 0.647 to 0.668 (ΔAUC = +0.021). The larger incremental value for hospital mortality is physiologically plausible: acute hemodynamic derangements captured by PINN outputs are more directly related to in-hospital decompensation than to long-term mortality, which is influenced by numerous non-cardiac factors.</w:t>
      </w:r>
    </w:p>
    <w:p>
      <w:r>
        <w:br w:type="page"/>
      </w:r>
    </w:p>
    <w:p>
      <w:pPr>
        <w:pStyle w:val="Heading1"/>
        <w:spacing w:after="120" w:before="240" w:line="360"/>
      </w:pPr>
      <w:r>
        <w:rPr>
          <w:rFonts w:ascii="Times New Roman" w:cs="Times New Roman" w:eastAsia="Times New Roman" w:hAnsi="Times New Roman"/>
          <w:b/>
          <w:bCs/>
          <w:sz w:val="28"/>
          <w:szCs w:val="28"/>
        </w:rPr>
        <w:t xml:space="preserve">Discussion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In this study, we demonstrated that a physics-informed neural network trained entirely on simulation data can extract clinically meaningful hemodynamic information from standard echocardiography. Three key findings merit discussion.</w:t>
      </w:r>
    </w:p>
    <w:p>
      <w:pPr>
        <w:spacing w:after="120" w:before="0" w:line="360"/>
        <w:jc w:val="both"/>
      </w:pPr>
      <w:r>
        <w:rPr>
          <w:rFonts w:ascii="Times New Roman" w:cs="Times New Roman" w:eastAsia="Times New Roman" w:hAnsi="Times New Roman"/>
          <w:b/>
          <w:bCs/>
          <w:sz w:val="24"/>
          <w:szCs w:val="24"/>
        </w:rPr>
        <w:t xml:space="preserve">First, the PINN provides information independent of E/e’. </w:t>
      </w:r>
      <w:r>
        <w:rPr>
          <w:rFonts w:ascii="Times New Roman" w:cs="Times New Roman" w:eastAsia="Times New Roman" w:hAnsi="Times New Roman"/>
          <w:sz w:val="24"/>
          <w:szCs w:val="24"/>
        </w:rPr>
        <w:t xml:space="preserve">The partial correlation analysis consistently showed that PINN outputs—particularly EDP, arterial elastance, and mechanical efficiency—retain significant associations with both invasive filling pressure (PCWP) and clinical outcomes after controlling for E/e’. This is not trivial: because E/e’ is an input to the PINN, a naïve model might simply reproduce E/e’ in its outputs. The fact that partial correlations remain significant demonstrates that the encoder-decoder architecture successfully disentangles the multiple physiological determinants of E/e’ and routes them to distinct output parameters.</w:t>
      </w:r>
    </w:p>
    <w:p>
      <w:pPr>
        <w:spacing w:after="120" w:before="0" w:line="360"/>
        <w:jc w:val="both"/>
      </w:pPr>
      <w:r>
        <w:rPr>
          <w:rFonts w:ascii="Times New Roman" w:cs="Times New Roman" w:eastAsia="Times New Roman" w:hAnsi="Times New Roman"/>
          <w:b/>
          <w:bCs/>
          <w:sz w:val="24"/>
          <w:szCs w:val="24"/>
        </w:rPr>
        <w:t xml:space="preserve">Second, the simulation-to-real transfer strategy is viable. </w:t>
      </w:r>
      <w:r>
        <w:rPr>
          <w:rFonts w:ascii="Times New Roman" w:cs="Times New Roman" w:eastAsia="Times New Roman" w:hAnsi="Times New Roman"/>
          <w:sz w:val="24"/>
          <w:szCs w:val="24"/>
        </w:rPr>
        <w:t xml:space="preserve">A common concern with simulation-trained models is whether they generalize to real clinical data. Our three-tier validation provides convergent evidence of generalization: PINN outputs correlate with invasive measurements (Tier A), align with clinical grading systems (Tier B), and predict patient outcomes (Tier C). The success of this transfer rests on two design choices: (a) the physics decoder enforces biologically plausible output ranges regardless of input distribution, and (b) the simulator’s six phenotypes span the major modes of clinical variation.</w:t>
      </w:r>
    </w:p>
    <w:p>
      <w:pPr>
        <w:spacing w:after="120" w:before="0" w:line="360"/>
        <w:jc w:val="both"/>
      </w:pPr>
      <w:r>
        <w:rPr>
          <w:rFonts w:ascii="Times New Roman" w:cs="Times New Roman" w:eastAsia="Times New Roman" w:hAnsi="Times New Roman"/>
          <w:b/>
          <w:bCs/>
          <w:sz w:val="24"/>
          <w:szCs w:val="24"/>
        </w:rPr>
        <w:t xml:space="preserve">Third, the simulation-based training eliminates circularity by construction. </w:t>
      </w:r>
      <w:r>
        <w:rPr>
          <w:rFonts w:ascii="Times New Roman" w:cs="Times New Roman" w:eastAsia="Times New Roman" w:hAnsi="Times New Roman"/>
          <w:sz w:val="24"/>
          <w:szCs w:val="24"/>
        </w:rPr>
        <w:t xml:space="preserve">Previous approaches that train on clinical data risk learning the very surrogates they aim to improve. By generating E/e’ from first-principles diastolic physiology—where the same E/e’ value can arise from different combinations of τ and Eed—the PINN has the opportunity to learn disambiguating features from the remaining 10 inputs. The calibration analysis confirms that the simulator’s E/e’–EDP correlation (r ≈ 0.7–0.85) matches clinical observations without near-perfect correlation that would indicate circularity.</w:t>
      </w:r>
    </w:p>
    <w:p>
      <w:pPr>
        <w:spacing w:after="120" w:before="0" w:line="360"/>
        <w:jc w:val="both"/>
      </w:pPr>
      <w:r>
        <w:rPr>
          <w:rFonts w:ascii="Times New Roman" w:cs="Times New Roman" w:eastAsia="Times New Roman" w:hAnsi="Times New Roman"/>
          <w:b/>
          <w:bCs/>
          <w:sz w:val="24"/>
          <w:szCs w:val="24"/>
        </w:rPr>
        <w:t xml:space="preserve">Comparison with existing approaches. </w:t>
      </w:r>
      <w:r>
        <w:rPr>
          <w:rFonts w:ascii="Times New Roman" w:cs="Times New Roman" w:eastAsia="Times New Roman" w:hAnsi="Times New Roman"/>
          <w:sz w:val="24"/>
          <w:szCs w:val="24"/>
        </w:rPr>
        <w:t xml:space="preserve">The Nagueh formula provides a single-point estimate of EDP from E/e’ and cannot characterize the underlying pathophysiology. Guideline-based algorithms (ASE/EACVI 2016) integrate multiple parameters but yield categorical outputs rather than continuous hemodynamic estimates. Machine learning approaches trained on catheterization data offer continuous estimates but are limited by sample size and potential circularity. Our approach uniquely combines continuous estimation of multiple hemodynamic parameters, explicit avoidance of circularity, and validation against both invasive measurements and clinical outcomes.</w:t>
      </w:r>
    </w:p>
    <w:p>
      <w:pPr>
        <w:spacing w:after="120" w:before="0" w:line="360"/>
        <w:jc w:val="both"/>
      </w:pPr>
      <w:r>
        <w:rPr>
          <w:rFonts w:ascii="Times New Roman" w:cs="Times New Roman" w:eastAsia="Times New Roman" w:hAnsi="Times New Roman"/>
          <w:b/>
          <w:bCs/>
          <w:sz w:val="24"/>
          <w:szCs w:val="24"/>
        </w:rPr>
        <w:t xml:space="preserve">Simulator representativeness. </w:t>
      </w:r>
      <w:r>
        <w:rPr>
          <w:rFonts w:ascii="Times New Roman" w:cs="Times New Roman" w:eastAsia="Times New Roman" w:hAnsi="Times New Roman"/>
          <w:sz w:val="24"/>
          <w:szCs w:val="24"/>
        </w:rPr>
        <w:t xml:space="preserve">The generalizability of the PINN is bounded by the fidelity of the training simulator. Our six-phenotype model covers the major modes of diastolic pathophysiology (impaired relaxation, increased stiffness, volume overload, pressure overload), but may not capture rare conditions (constrictive pericarditis, infiltrative cardiomyopathy) or post-surgical states. Future work should expand the simulator to include additional phenotypes and validate the approach in diverse clinical settings, including community-based cohorts such as MESA or ARIC, to assess performance across the full spectrum of diastolic disease severity.</w:t>
      </w:r>
    </w:p>
    <w:p>
      <w:pPr>
        <w:pStyle w:val="Heading1"/>
        <w:spacing w:after="120" w:before="240" w:line="360"/>
      </w:pPr>
      <w:r>
        <w:rPr>
          <w:rFonts w:ascii="Times New Roman" w:cs="Times New Roman" w:eastAsia="Times New Roman" w:hAnsi="Times New Roman"/>
          <w:b/>
          <w:bCs/>
          <w:sz w:val="28"/>
          <w:szCs w:val="28"/>
        </w:rPr>
        <w:t xml:space="preserve">Limitations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Several limitations should be considered. First, this is a single-center validation study using data from one institution (Beth Israel Deaconess Medical Center). Multi-center external validation, particularly using community-based cohorts, is needed to establish generalizability across different populations and practice patterns. Second, the temporal alignment between echocardiographic measurements and invasive PCWP was not controlled; although both occurred during the same hospitalization, hemodynamic status may have changed between measurements, potentially attenuating observed correlations. Third, PCWP is an imperfect surrogate for LVEDP and may diverge in the presence of mitral valve or pulmonary vascular disease. The high mean PCWP (35.0 ± 11.5 mmHg) reflects the critically ill ICU population with predominantly elevated filling pressures, which may limit the model’s demonstrated discriminative ability in the lower pressure range. Fourth, the simulator’s six phenotypes may not fully represent the heterogeneity of real-world cardiac pathology. Fifth, the model’s relaxation time constant (τ) output lacks direct invasive validation in this cohort, as τ measurement requires high-fidelity left ventricular pressure recordings not available in MIMIC-IV. Finally, the absolute magnitude of the incremental AUC improvements, while statistically significant, is modest, and clinical impact should be evaluated in prospective studies.</w:t>
      </w:r>
    </w:p>
    <w:p>
      <w:pPr>
        <w:pStyle w:val="Heading1"/>
        <w:spacing w:after="120" w:before="240" w:line="360"/>
      </w:pPr>
      <w:r>
        <w:rPr>
          <w:rFonts w:ascii="Times New Roman" w:cs="Times New Roman" w:eastAsia="Times New Roman" w:hAnsi="Times New Roman"/>
          <w:b/>
          <w:bCs/>
          <w:sz w:val="28"/>
          <w:szCs w:val="28"/>
        </w:rPr>
        <w:t xml:space="preserve">Conclusion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We present a physics-informed neural network that estimates seven diastolic hemodynamic parameters from standard echocardiographic inputs, trained on physiology-based simulation data and validated on 26,823 patients from MIMIC-IV. The model provides information independent of E/e’, correlates with invasive filling pressure, and incrementally predicts mortality. This work establishes a framework for simulation-trained, physics-constrained hemodynamic estimation that avoids the circularity inherent in training on clinical surrogates, with potential applications in non-invasive hemodynamic phenotyping and clinical decision support for diastolic heart failure.</w:t>
      </w:r>
    </w:p>
    <w:p>
      <w:pPr>
        <w:pStyle w:val="Heading1"/>
        <w:spacing w:after="120" w:before="240" w:line="360"/>
      </w:pPr>
      <w:r>
        <w:rPr>
          <w:rFonts w:ascii="Times New Roman" w:cs="Times New Roman" w:eastAsia="Times New Roman" w:hAnsi="Times New Roman"/>
          <w:b/>
          <w:bCs/>
          <w:sz w:val="28"/>
          <w:szCs w:val="28"/>
        </w:rPr>
        <w:t xml:space="preserve">Data and Code Availability</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MIMIC-IV data are publicly available through PhysioNet (https://physionet.org/content/mimiciv/) upon credentialed access. The PINN model code, training simulator, and analysis scripts will be made available on GitHub upon publication.</w:t>
      </w:r>
    </w:p>
    <w:p>
      <w:r>
        <w:br w:type="page"/>
      </w:r>
    </w:p>
    <w:p>
      <w:pPr>
        <w:pStyle w:val="Heading1"/>
        <w:spacing w:after="120" w:before="240" w:line="360"/>
      </w:pPr>
      <w:r>
        <w:rPr>
          <w:rFonts w:ascii="Times New Roman" w:cs="Times New Roman" w:eastAsia="Times New Roman" w:hAnsi="Times New Roman"/>
          <w:b/>
          <w:bCs/>
          <w:sz w:val="28"/>
          <w:szCs w:val="28"/>
        </w:rPr>
        <w:t xml:space="preserve">References</w:t>
      </w:r>
    </w:p>
    <w:p>
      <w:pPr>
        <w:spacing w:after="60" w:before="0" w:line="276"/>
        <w:jc w:val="both"/>
      </w:pPr>
      <w:r>
        <w:rPr>
          <w:rFonts w:ascii="Times New Roman" w:cs="Times New Roman" w:eastAsia="Times New Roman" w:hAnsi="Times New Roman"/>
          <w:b w:val="false"/>
          <w:bCs w:val="false"/>
          <w:i w:val="false"/>
          <w:iCs w:val="false"/>
          <w:sz w:val="20"/>
          <w:szCs w:val="20"/>
        </w:rPr>
        <w:t xml:space="preserve">1. Nagueh SF, Smiseth OA, Appleton CP, et al. Recommendations for the Evaluation of Left Ventricular Diastolic Function by Echocardiography: An Update from the ASE and EACVI. J Am Soc Echocardiogr. 2016;29(4):277–314.</w:t>
      </w:r>
    </w:p>
    <w:p>
      <w:pPr>
        <w:spacing w:after="60" w:before="0" w:line="276"/>
        <w:jc w:val="both"/>
      </w:pPr>
      <w:r>
        <w:rPr>
          <w:rFonts w:ascii="Times New Roman" w:cs="Times New Roman" w:eastAsia="Times New Roman" w:hAnsi="Times New Roman"/>
          <w:b w:val="false"/>
          <w:bCs w:val="false"/>
          <w:i w:val="false"/>
          <w:iCs w:val="false"/>
          <w:sz w:val="20"/>
          <w:szCs w:val="20"/>
        </w:rPr>
        <w:t xml:space="preserve">2. Raissi M, Perdikaris P, Karniadakis GE. Physics-informed neural networks: A deep learning framework for solving forward and inverse problems involving nonlinear partial differential equations. J Comput Phys. 2019;378:686–707.</w:t>
      </w:r>
    </w:p>
    <w:p>
      <w:pPr>
        <w:spacing w:after="60" w:before="0" w:line="276"/>
        <w:jc w:val="both"/>
      </w:pPr>
      <w:r>
        <w:rPr>
          <w:rFonts w:ascii="Times New Roman" w:cs="Times New Roman" w:eastAsia="Times New Roman" w:hAnsi="Times New Roman"/>
          <w:b w:val="false"/>
          <w:bCs w:val="false"/>
          <w:i w:val="false"/>
          <w:iCs w:val="false"/>
          <w:sz w:val="20"/>
          <w:szCs w:val="20"/>
        </w:rPr>
        <w:t xml:space="preserve">3. Chen CH, Fetics B, Nevo E, et al. Noninvasive single-beat determination of left ventricular end-systolic elastance in humans. J Am Coll Cardiol. 2001;38(7):2028–2034.</w:t>
      </w:r>
    </w:p>
    <w:p>
      <w:pPr>
        <w:spacing w:after="60" w:before="0" w:line="276"/>
        <w:jc w:val="both"/>
      </w:pPr>
      <w:r>
        <w:rPr>
          <w:rFonts w:ascii="Times New Roman" w:cs="Times New Roman" w:eastAsia="Times New Roman" w:hAnsi="Times New Roman"/>
          <w:b w:val="false"/>
          <w:bCs w:val="false"/>
          <w:i w:val="false"/>
          <w:iCs w:val="false"/>
          <w:sz w:val="20"/>
          <w:szCs w:val="20"/>
        </w:rPr>
        <w:t xml:space="preserve">4. Weiss JL, Frederiksen JW, Weisfeldt ML. Hemodynamic determinants of the time-course of fall in canine left ventricular pressure. J Clin Invest. 1976;58(3):751–760.</w:t>
      </w:r>
    </w:p>
    <w:p>
      <w:pPr>
        <w:spacing w:after="60" w:before="0" w:line="276"/>
        <w:jc w:val="both"/>
      </w:pPr>
      <w:r>
        <w:rPr>
          <w:rFonts w:ascii="Times New Roman" w:cs="Times New Roman" w:eastAsia="Times New Roman" w:hAnsi="Times New Roman"/>
          <w:b w:val="false"/>
          <w:bCs w:val="false"/>
          <w:i w:val="false"/>
          <w:iCs w:val="false"/>
          <w:sz w:val="20"/>
          <w:szCs w:val="20"/>
        </w:rPr>
        <w:t xml:space="preserve">5. Zile MR, Baicu CF, Gaasch WH. Diastolic heart failure—abnormalities in active relaxation and passive stiffness of the left ventricle. N Engl J Med. 2004;350(19):1953–1959.</w:t>
      </w:r>
    </w:p>
    <w:p>
      <w:pPr>
        <w:spacing w:after="60" w:before="0" w:line="276"/>
        <w:jc w:val="both"/>
      </w:pPr>
      <w:r>
        <w:rPr>
          <w:rFonts w:ascii="Times New Roman" w:cs="Times New Roman" w:eastAsia="Times New Roman" w:hAnsi="Times New Roman"/>
          <w:b w:val="false"/>
          <w:bCs w:val="false"/>
          <w:i w:val="false"/>
          <w:iCs w:val="false"/>
          <w:sz w:val="20"/>
          <w:szCs w:val="20"/>
        </w:rPr>
        <w:t xml:space="preserve">6. Sohn DW, Chai IH, Lee DJ, et al. Assessment of mitral annulus velocity by Doppler tissue imaging in the evaluation of left ventricular diastolic function. J Am Coll Cardiol. 1997;30(2):474–480.</w:t>
      </w:r>
    </w:p>
    <w:p>
      <w:pPr>
        <w:spacing w:after="60" w:before="0" w:line="276"/>
        <w:jc w:val="both"/>
      </w:pPr>
      <w:r>
        <w:rPr>
          <w:rFonts w:ascii="Times New Roman" w:cs="Times New Roman" w:eastAsia="Times New Roman" w:hAnsi="Times New Roman"/>
          <w:b w:val="false"/>
          <w:bCs w:val="false"/>
          <w:i w:val="false"/>
          <w:iCs w:val="false"/>
          <w:sz w:val="20"/>
          <w:szCs w:val="20"/>
        </w:rPr>
        <w:t xml:space="preserve">7. Ommen SR, Nishimura RA, Appleton CP, et al. Clinical utility of Doppler echocardiography and tissue Doppler imaging in the estimation of left ventricular filling pressures. Circulation. 2000;102(15):1788–1794.</w:t>
      </w:r>
    </w:p>
    <w:p>
      <w:pPr>
        <w:spacing w:after="60" w:before="0" w:line="276"/>
        <w:jc w:val="both"/>
      </w:pPr>
      <w:r>
        <w:rPr>
          <w:rFonts w:ascii="Times New Roman" w:cs="Times New Roman" w:eastAsia="Times New Roman" w:hAnsi="Times New Roman"/>
          <w:b w:val="false"/>
          <w:bCs w:val="false"/>
          <w:i w:val="false"/>
          <w:iCs w:val="false"/>
          <w:sz w:val="20"/>
          <w:szCs w:val="20"/>
        </w:rPr>
        <w:t xml:space="preserve">8. Firstenberg MS, Levine BD, Garcia MJ, et al. Relationship of echocardiographic indices to pulmonary capillary wedge pressures in healthy volunteers. J Am Coll Cardiol. 2000;36(5):1664–1669.</w:t>
      </w:r>
    </w:p>
    <w:p>
      <w:pPr>
        <w:spacing w:after="60" w:before="0" w:line="276"/>
        <w:jc w:val="both"/>
      </w:pPr>
      <w:r>
        <w:rPr>
          <w:rFonts w:ascii="Times New Roman" w:cs="Times New Roman" w:eastAsia="Times New Roman" w:hAnsi="Times New Roman"/>
          <w:b w:val="false"/>
          <w:bCs w:val="false"/>
          <w:i w:val="false"/>
          <w:iCs w:val="false"/>
          <w:sz w:val="20"/>
          <w:szCs w:val="20"/>
        </w:rPr>
        <w:t xml:space="preserve">9. Johnson AEW, Bulgarelli L, Shen L, et al. MIMIC-IV, a freely accessible electronic health record dataset. Sci Data. 2023;10(1):1.</w:t>
      </w:r>
    </w:p>
    <w:p>
      <w:pPr>
        <w:spacing w:after="60" w:before="0" w:line="276"/>
        <w:jc w:val="both"/>
      </w:pPr>
      <w:r>
        <w:rPr>
          <w:rFonts w:ascii="Times New Roman" w:cs="Times New Roman" w:eastAsia="Times New Roman" w:hAnsi="Times New Roman"/>
          <w:b w:val="false"/>
          <w:bCs w:val="false"/>
          <w:i w:val="false"/>
          <w:iCs w:val="false"/>
          <w:sz w:val="20"/>
          <w:szCs w:val="20"/>
        </w:rPr>
        <w:t xml:space="preserve">10. Little WC, Downes TR. Clinical evaluation of left ventricular diastolic performance. Prog Cardiovasc Dis. 1990;32(4):273–290.</w:t>
      </w:r>
    </w:p>
    <w:p>
      <w:pPr>
        <w:spacing w:after="60" w:before="0" w:line="276"/>
        <w:jc w:val="both"/>
      </w:pPr>
      <w:r>
        <w:rPr>
          <w:rFonts w:ascii="Times New Roman" w:cs="Times New Roman" w:eastAsia="Times New Roman" w:hAnsi="Times New Roman"/>
          <w:b w:val="false"/>
          <w:bCs w:val="false"/>
          <w:i w:val="false"/>
          <w:iCs w:val="false"/>
          <w:sz w:val="20"/>
          <w:szCs w:val="20"/>
        </w:rPr>
        <w:t xml:space="preserve">11. Borlaug BA, Kass DA. Invasive hemodynamic assessment in heart failure. Heart Fail Clin. 2009;5(2):217–228.</w:t>
      </w:r>
    </w:p>
    <w:p>
      <w:pPr>
        <w:spacing w:after="60" w:before="0" w:line="276"/>
        <w:jc w:val="both"/>
      </w:pPr>
      <w:r>
        <w:rPr>
          <w:rFonts w:ascii="Times New Roman" w:cs="Times New Roman" w:eastAsia="Times New Roman" w:hAnsi="Times New Roman"/>
          <w:b w:val="false"/>
          <w:bCs w:val="false"/>
          <w:i w:val="false"/>
          <w:iCs w:val="false"/>
          <w:sz w:val="20"/>
          <w:szCs w:val="20"/>
        </w:rPr>
        <w:t xml:space="preserve">12. Redfield MM, Jacobsen SJ, Burnett JC Jr, et al. Burden of systolic and diastolic ventricular dysfunction in the community: appreciating the scope of the heart failure epidemic. JAMA. 2003;289(2):194–202.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PINN v4 Diastolic Hemodynamics — Draft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2026-05-11T10:40:12.858Z</dcterms:created>
  <dcterms:modified xsi:type="dcterms:W3CDTF">2026-05-11T10:40:12.859Z</dcterms:modified>
</cp:coreProperties>
</file>

<file path=docProps/custom.xml><?xml version="1.0" encoding="utf-8"?>
<Properties xmlns="http://schemas.openxmlformats.org/officeDocument/2006/custom-properties" xmlns:vt="http://schemas.openxmlformats.org/officeDocument/2006/docPropsVTypes"/>
</file>