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6"/>
          <w:szCs w:val="36"/>
        </w:rPr>
        <w:t xml:space="preserve">PINN v4: Volume-Response Prediction Analysis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Physics-Informed Neural Network for Diastolic Function — Treatment Response Feasibility</w:t>
      </w:r>
    </w:p>
    <w:p>
      <w:pPr>
        <w:spacing w:after="3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Kwanhyeong Lee  |  May 2026  |  MIMIC-IV Echo Cohort</w:t>
      </w:r>
    </w:p>
    <w:p>
      <w:pPr>
        <w:pBdr>
          <w:bottom w:val="single" w:color="2E75B6" w:sz="6" w:space="1"/>
        </w:pBdr>
      </w:pPr>
    </w:p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presents the feasibility analysis for using PINN v4’s latent diastolic stiffness parameter (Eed) as a predictor of hemodynamic response to volume reduction. Using 35,540 echocardiographic measurements from MIMIC-IV, we identified 5,779 patients with repeat echos and demonstrated that baseline Eed stratifies the magnitude of EDP change following volume reduction.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Finding: Patients in the highest Eed quartile showed 7.4 mmHg more EDP reduction than those in the lowest quartile for equivalent volume decrease, confirming that the PINN-derived stiffness parameter captures clinically meaningful treatment-response heterogeneity.</w:t>
      </w:r>
    </w:p>
    <w:p>
      <w:pPr>
        <w:pStyle w:val="Heading1"/>
      </w:pPr>
      <w:r>
        <w:t xml:space="preserve">2. Study Cohort</w:t>
      </w:r>
    </w:p>
    <w:p>
      <w:pPr>
        <w:pStyle w:val="Heading2"/>
      </w:pPr>
      <w:r>
        <w:t xml:space="preserve">2.1 Data Source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MIMIC-IV echocardiography database, processed through the PINN v4 inference pipeline. Input features: EF, EDV, ESV, SBP, DBP, HR, CO, E/e’, E/A ratio, DT, LAVI (11 features). PINN outputs: Ees, Eed, Ea, VA coupling, EDP, efficiency, tau (7 parameters).</w:t>
      </w:r>
    </w:p>
    <w:p>
      <w:pPr>
        <w:pStyle w:val="Heading2"/>
      </w:pPr>
      <w:r>
        <w:t xml:space="preserve">2.2 Cohort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(patients)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(measurements)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echo measurements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26,823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35,540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Patients with ≥2 echos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5,779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15,367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reducers (EDV↓ &gt; 10 mL)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2,154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expanders (EDV↑ &gt; 10 mL)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1,841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Longitudinal Parameter Changes</w:t>
      </w:r>
    </w:p>
    <w:p>
      <w:pPr>
        <w:pStyle w:val="Heading2"/>
      </w:pPr>
      <w:r>
        <w:t xml:space="preserve">3.1 Parameter Correlations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Among repeat-echo patients, changes in PINN-derived parameters showed strong internal consistency: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4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Pair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Spearman 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ΔEDP vs ΔEed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0.649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Stiffness change drives filling pressure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ΔEDP vs ΔTau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Relaxation change contributes to EDP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ΔEed vs ΔTau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Stiffness and relaxation co-vary strongly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ΔEDP vs ΔEes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0.087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Systolic function minimally affects EDP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EDP Trajectory Groups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Patients dichotomized by EDP change direction (first → last echo):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400"/>
        <w:gridCol w:w="1400"/>
        <w:gridCol w:w="11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EDP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Follow-up EDP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ΔEDP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EDP Droppers (ΔEDP &lt; 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2,667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17.5 ± 7.3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 ± 4.6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−7.4 ± 5.9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0.22 ± 0.24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EDP Risers (ΔEDP &gt; 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2,396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9.2 ± 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16.1 ± 6.9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+6.9 ± 5.6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 ± 0.08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EDP droppers had 5.5× higher baseline Eed than risers (0.22 vs 0.04), suggesting that elevated stiffness at baseline identifies patients with greater potential for hemodynamic improvement.</w:t>
      </w:r>
    </w:p>
    <w:p>
      <w:pPr>
        <w:pStyle w:val="Heading1"/>
      </w:pPr>
      <w:r>
        <w:t xml:space="preserve">4. Eed-Stratified Volume Response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Among 2,154 volume reducers (EDV decrease &gt; 10 mL between first and last echo), we stratified by baseline Eed quartile: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800"/>
        <w:gridCol w:w="1360"/>
        <w:gridCol w:w="22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Eed Quartile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ΔEDV (mL)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ΔEDP (mmHg)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vs Q1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 (lowest)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−27.2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+0.58 ± 4.29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−26.8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+1.18 ± 7.01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−6.18 ± 8.40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&lt;0.001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 (highest)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−29.3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−6.88 ± 9.71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&lt;0.001</w:t>
            </w:r>
          </w:p>
        </w:tc>
      </w:tr>
    </w:tbl>
    <w:p>
      <w:pPr>
        <w:spacing w:after="20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Despite similar volume reduction across quartiles (−27 to −29 mL), Q4 patients experienced 7.4 mmHg more EDP decrease than Q1. This demonstrates that Eed captures the non-linear pressure-volume relationship: stiff ventricles operate on the steep portion of the EDPVR, so equivalent volume unloading produces disproportionately larger pressure drops.</w:t>
      </w:r>
    </w:p>
    <w:p>
      <w:pPr>
        <w:pStyle w:val="Heading1"/>
      </w:pPr>
      <w:r>
        <w:t xml:space="preserve">5. Counterfactual Simulation (Digital Twin)</w:t>
      </w:r>
    </w:p>
    <w:p>
      <w:pPr>
        <w:pStyle w:val="Heading2"/>
      </w:pPr>
      <w:r>
        <w:t xml:space="preserve">5.1 Methodology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each patient’s first echo, we simulated a 20 mL EDV reduction while adjusting correlated inputs: ESV (proportional), CO, and EF. The modified inputs were re-run through the trained PINN to predict counterfactual EDP.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leverages the physics-encoded decoder: EDP = A × exp(Eed × (EDV − V₀)), ensuring predictions respect exponential pressure-volume physiology rather than arbitrary interpolation.</w:t>
      </w:r>
    </w:p>
    <w:p>
      <w:pPr>
        <w:pStyle w:val="Heading2"/>
      </w:pPr>
      <w:r>
        <w:t xml:space="preserve">5.2 Results by Eed Quartile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Eed Quartile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EDP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Counterfactual EDP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ΔEDP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 (Eed = 0.009)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 mmHg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 mmHg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−0.07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−0.8%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 (Eed = 0.019)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9.8 mmHg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9.3 mmHg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−0.52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−5.3%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(Eed = 0.145)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14.9 mmHg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11.5 mmHg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−3.35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−22.5%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 (Eed = 0.474)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25.8 mmHg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24.8 mmHg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−0.94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−3.6%</w:t>
            </w:r>
          </w:p>
        </w:tc>
      </w:tr>
    </w:tbl>
    <w:p>
      <w:pPr>
        <w:spacing w:after="20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Q3 shows maximum counterfactual response (−3.35 mmHg, −22.5%). Q4’s paradoxically smaller response reflects that extremely stiff ventricles have such high baseline EDP that 20 mL reduction, while large in absolute terms, represents a smaller relative change on their steep EDPVR curve.</w:t>
      </w:r>
    </w:p>
    <w:p>
      <w:pPr>
        <w:pStyle w:val="Heading1"/>
      </w:pPr>
      <w:r>
        <w:t xml:space="preserve">6. Diastolic Dysfunction Grade Transitions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Among 2,180 patients with valid DD grades on both first and last echos: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Improved (≥ 1 grade reduction)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Unchanged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Worsened (≥ 1 grade increase)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5.8%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low transition rate (9.1%) confirms that DD grade is a coarse categorical measure, while continuous PINN parameters (Eed, EDP) capture finer-grained hemodynamic changes invisible to the grading system.</w:t>
      </w:r>
    </w:p>
    <w:p>
      <w:pPr>
        <w:pStyle w:val="Heading1"/>
      </w:pPr>
      <w:r>
        <w:t xml:space="preserve">7. Clinical Implications &amp; Next Steps</w:t>
      </w:r>
    </w:p>
    <w:p>
      <w:pPr>
        <w:pStyle w:val="Heading2"/>
      </w:pPr>
      <w:r>
        <w:t xml:space="preserve">7.1 Paper 1: Volume-Response Prediction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Current findings support a standalone manuscript demonstrating that PINN-derived Eed predicts hemodynamic response to volume change. The counterfactual simulation framework provides a “digital twin” approach for pre-treatment response estimation.</w:t>
      </w:r>
    </w:p>
    <w:p>
      <w:pPr>
        <w:pStyle w:val="Heading2"/>
      </w:pPr>
      <w:r>
        <w:t xml:space="preserve">7.2 Paper 2: Treatment-Specific Response (Next Phase)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Matching MIMIC-IV medication data (furosemide, bumetanide) to echo pairs will enable treatment-specific response prediction. Required: MIMIC prescriptions/inputevents tables linked to echo timestamps. This extends from “volume changed → what happened” to “diuretic given → predicted response.”</w:t>
      </w:r>
    </w:p>
    <w:p>
      <w:pPr>
        <w:pStyle w:val="Heading2"/>
      </w:pPr>
      <w:r>
        <w:t xml:space="preserve">7.3 PINN v4 Model Performance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4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Eed AUC (elevated EDP)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0.688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PINN stiffness discriminates elevated filling pressure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EDP AUC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0.655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EDP output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 grade ρ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 with clinical grading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 over E/e’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Modest but consistent added value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Technical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Model: PINN v4 (checkpoint v41), 11→256→128→64→7 encoder + PhysicsDecoderV4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EDPVR: EDP = A × exp(Eed × (EDV − V₀)), pure exponential (no Nagueh blending)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Counterfactual: EDV −20 mL with proportional ESV, CO, EF adjustment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Data: MIMIC-IV echocardiography, 35,540 measurements / 26,823 subjects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Volume reducer definition: ΔEDV &lt; −10 mL between first and last echo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PINN v4 — Volume-Response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2026-05-21T03:07:11.481Z</dcterms:created>
  <dcterms:modified xsi:type="dcterms:W3CDTF">2026-05-21T03:07:11.482Z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