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Physics-Informed Neural Network for Predicting Treatment-Specific Hemodynamic Response in Heart Failure: A Digital Twin Approach</w:t>
      </w:r>
    </w:p>
    <w:p>
      <w:pPr>
        <w:spacing w:after="80"/>
        <w:jc w:val="center"/>
      </w:pPr>
      <w:r>
        <w:rPr>
          <w:sz w:val="22"/>
          <w:szCs w:val="22"/>
        </w:rPr>
        <w:t xml:space="preserve">Kwanhyeong Lee</w:t>
      </w:r>
    </w:p>
    <w:p>
      <w:pPr>
        <w:spacing w:after="300"/>
        <w:jc w:val="center"/>
      </w:pPr>
      <w:r>
        <w:rPr>
          <w:i/>
          <w:iCs/>
          <w:color w:val="666666"/>
          <w:sz w:val="20"/>
          <w:szCs w:val="20"/>
        </w:rPr>
        <w:t xml:space="preserve">Draft Manuscript — May 2026</w:t>
      </w:r>
    </w:p>
    <w:p>
      <w:pPr>
        <w:pStyle w:val="Heading1"/>
        <w:spacing w:after="120" w:line="276"/>
        <w:jc w:val="both"/>
      </w:pPr>
      <w:r>
        <w:t xml:space="preserve">Abstract</w:t>
      </w:r>
    </w:p>
    <w:p>
      <w:pPr>
        <w:spacing w:after="120" w:line="276"/>
        <w:jc w:val="both"/>
      </w:pPr>
      <w:r>
        <w:rPr>
          <w:b/>
          <w:bCs/>
        </w:rPr>
        <w:t xml:space="preserve">Background: </w:t>
      </w:r>
      <w:r>
        <w:t xml:space="preserve">Heart failure (HF) treatment decisions are guided by clinical guidelines rather than patient-specific hemodynamic predictions. Predicting individual treatment response from non-invasive data could enable precision medicine approaches to HF pharmacotherapy.</w:t>
      </w:r>
    </w:p>
    <w:p>
      <w:pPr>
        <w:spacing w:after="120" w:line="276"/>
        <w:jc w:val="both"/>
      </w:pPr>
      <w:r>
        <w:rPr>
          <w:b/>
          <w:bCs/>
        </w:rPr>
        <w:t xml:space="preserve">Methods: </w:t>
      </w:r>
      <w:r>
        <w:t xml:space="preserve">We applied a physics-informed neural network (PINN) to 33,000 echocardiographic measurements from MIMIC-IV, estimating 7 hemodynamic parameters (EDP, Eed, Ees, coupling, Ea, efficiency, tau) for each study. We identified 5,851 paired echo studies with interval medication exposure across 13 HF drug categories (loop diuretics, MRA, ACEi, ARB, ARNI, beta-blockers, SGLT2i, digoxin, hydralazine, nitrates, CCB, ivabradine, thiazide). Treatment effects were estimated using propensity score matching (PSM; 16 covariates, caliper = 0.2 SD) and inverse probability of treatment weighting (IPTW) with bootstrap confidence intervals. Treatment response prediction was evaluated using gradient boosting classifiers with 5-fold cross-validation. A digital twin framework simulated counterfactual drug effects through pharmacologically informed input perturbation.</w:t>
      </w:r>
    </w:p>
    <w:p>
      <w:pPr>
        <w:spacing w:after="120" w:line="276"/>
        <w:jc w:val="both"/>
      </w:pPr>
      <w:r>
        <w:rPr>
          <w:b/>
          <w:bCs/>
        </w:rPr>
        <w:t xml:space="preserve">Results: </w:t>
      </w:r>
      <w:r>
        <w:t xml:space="preserve">PSM and IPTW produced concordant estimates for 12 drug-outcome pairs (p &lt; 0.05 in both methods, same direction). MRA showed the most robust positive signal: PSM delta-EF = +0.023 (p = 0.0014), IPTW ATE = +0.019 (p = 0.004). In HFrEF, RAASi + beta-blocker combination showed synergistic EDP reduction (interaction = −2.91 mmHg). A gradient boosting model predicted EDP treatment response (delta-EDP &lt;= −3 mmHg) with AUC = 0.809 (5-fold CV), with baseline EDP as the dominant predictor (73.3% feature importance). Drug-specific models achieved AUC 0.68–0.78 across classes. The calibrated digital twin showed correlation r = 0.55–0.73 between predicted and observed changes for ARNI-treated patients.</w:t>
      </w:r>
    </w:p>
    <w:p>
      <w:pPr>
        <w:spacing w:after="120" w:line="276"/>
        <w:jc w:val="both"/>
      </w:pPr>
      <w:r>
        <w:rPr>
          <w:b/>
          <w:bCs/>
        </w:rPr>
        <w:t xml:space="preserve">Conclusions: </w:t>
      </w:r>
      <w:r>
        <w:t xml:space="preserve">PINN-based hemodynamic profiling enables treatment-specific response prediction from routine echocardiographic data. The convergence of PSM and IPTW estimates strengthens causal interpretation, while the digital twin framework provides patient-specific counterfactual predictions. This approach may support individualized HF pharmacotherapy optimization.</w:t>
      </w:r>
    </w:p>
    <w:p>
      <w:pPr>
        <w:spacing w:after="120" w:line="276"/>
        <w:jc w:val="both"/>
      </w:pPr>
      <w:r>
        <w:rPr>
          <w:b/>
          <w:bCs/>
          <w:i/>
          <w:iCs/>
        </w:rPr>
        <w:t xml:space="preserve">Keywords: </w:t>
      </w:r>
      <w:r>
        <w:rPr>
          <w:i/>
          <w:iCs/>
        </w:rPr>
        <w:t xml:space="preserve">heart failure, treatment response, digital twin, physics-informed neural network, propensity score matching, precision medicine, echocardiography</w:t>
      </w:r>
    </w:p>
    <w:p>
      <w:r>
        <w:br w:type="page"/>
      </w:r>
    </w:p>
    <w:p>
      <w:pPr>
        <w:pStyle w:val="Heading1"/>
        <w:spacing w:after="120" w:line="276"/>
        <w:jc w:val="both"/>
      </w:pPr>
      <w:r>
        <w:t xml:space="preserve">I. Introduction</w:t>
      </w:r>
    </w:p>
    <w:p>
      <w:pPr>
        <w:spacing w:after="120" w:line="276"/>
        <w:jc w:val="both"/>
      </w:pPr>
      <w:r>
        <w:t xml:space="preserve">Heart failure affects over 64 million people worldwide and remains a leading cause of hospitalization and mortality. Despite advances in guideline-directed medical therapy (GDMT), treatment selection remains largely empirical, guided by population-level evidence rather than patient-specific hemodynamic predictions. A patient presenting with HFrEF may receive beta-blockers, RAASi, MRA, and SGLT2i simultaneously, yet clinicians have limited ability to predict which drugs will produce the greatest hemodynamic benefit for that individual.</w:t>
      </w:r>
    </w:p>
    <w:p>
      <w:pPr>
        <w:spacing w:after="120" w:line="276"/>
        <w:jc w:val="both"/>
      </w:pPr>
      <w:r>
        <w:t xml:space="preserve">Current echocardiographic monitoring typically tracks ejection fraction and filling pressures (E/e' ratio) as treatment response surrogates. However, these metrics capture only a fraction of the hemodynamic response. Drug-induced changes in myocardial stiffness (Eed), relaxation kinetics (tau), ventricular-arterial coupling, and mechanical efficiency are clinically relevant but not routinely assessable non-invasively.</w:t>
      </w:r>
    </w:p>
    <w:p>
      <w:pPr>
        <w:spacing w:after="120" w:line="276"/>
        <w:jc w:val="both"/>
      </w:pPr>
      <w:r>
        <w:t xml:space="preserve">We recently developed a physics-informed neural network (PINN) that estimates 7 hemodynamic parameters from 11 standard echocardiographic inputs through a physics-constrained decoder embedding the end-diastolic pressure-volume relationship (EDPVR). In this study, we extend this model to predict treatment-specific hemodynamic responses by analyzing serial echocardiographic studies with interval medication exposure.</w:t>
      </w:r>
    </w:p>
    <w:p>
      <w:pPr>
        <w:spacing w:after="120" w:line="276"/>
        <w:jc w:val="both"/>
      </w:pPr>
      <w:r>
        <w:t xml:space="preserve">We address three questions: (1) Can PINN-derived hemodynamic changes detect drug-class-specific treatment effects after accounting for confounding by indication? (2) Can baseline hemodynamic profiles predict treatment response? (3) Can a digital twin framework provide patient-specific counterfactual predictions?</w:t>
      </w:r>
    </w:p>
    <w:p>
      <w:pPr>
        <w:pStyle w:val="Heading1"/>
        <w:spacing w:after="120" w:line="276"/>
        <w:jc w:val="both"/>
      </w:pPr>
      <w:r>
        <w:t xml:space="preserve">II. Methods</w:t>
      </w:r>
    </w:p>
    <w:p>
      <w:pPr>
        <w:pStyle w:val="Heading2"/>
        <w:spacing w:after="120" w:line="276"/>
        <w:jc w:val="both"/>
      </w:pPr>
      <w:r>
        <w:t xml:space="preserve">A. Study Population and Data Sources</w:t>
      </w:r>
    </w:p>
    <w:p>
      <w:pPr>
        <w:spacing w:after="120" w:line="276"/>
        <w:jc w:val="both"/>
      </w:pPr>
      <w:r>
        <w:t xml:space="preserve">We extracted 33,000 echocardiographic measurements from MIMIC-IV v3.1 (physionet-data.mimiciv_echo.structured_measurement). For treatment response analysis, we identified paired echo studies for the same patient by selecting the earliest and latest measurements per subject, yielding baseline (pre) and follow-up (post) PINN profiles. Medication exposure between echo studies was ascertained from prescription records (mimiciv_3_1_hosp.prescriptions) and ICU infusion records (mimiciv_3_1_icu.inputevents).</w:t>
      </w:r>
    </w:p>
    <w:p>
      <w:pPr>
        <w:pStyle w:val="Heading2"/>
        <w:spacing w:after="120" w:line="276"/>
        <w:jc w:val="both"/>
      </w:pPr>
      <w:r>
        <w:t xml:space="preserve">B. Medication Matching</w:t>
      </w:r>
    </w:p>
    <w:p>
      <w:pPr>
        <w:spacing w:after="120" w:line="276"/>
        <w:jc w:val="both"/>
      </w:pPr>
      <w:r>
        <w:t xml:space="preserve">Medications were classified into 13 categories: loop diuretics (furosemide equivalents: bumetanide ×40, torsemide ×2), MRA (spironolactone, eplerenone), thiazide, ACE inhibitors, ARBs (excluding sacubitril/valsartan), ARNI (sacubitril/valsartan, entresto), beta-blockers (carvedilol, metoprolol, bisoprolol), SGLT2 inhibitors, digoxin, hydralazine, nitrates, calcium channel blockers (DHP and non-DHP), and ivabradine. A GDMT pillar count (RAASi + BB + MRA + SGLT2i, range 0–4) summarized therapy intensity. This matching yielded 5,851 paired echo studies with medication data spanning a median of 127 days between studies.</w:t>
      </w:r>
    </w:p>
    <w:p>
      <w:pPr>
        <w:pStyle w:val="Heading2"/>
        <w:spacing w:after="120" w:line="276"/>
        <w:jc w:val="both"/>
      </w:pPr>
      <w:r>
        <w:t xml:space="preserve">C. PINN Inference</w:t>
      </w:r>
    </w:p>
    <w:p>
      <w:pPr>
        <w:spacing w:after="120" w:line="276"/>
        <w:jc w:val="both"/>
      </w:pPr>
      <w:r>
        <w:t xml:space="preserve">The PINN v4 model was applied to all 33,000 measurements, producing 7 hemodynamic outputs (Ees, Eed, Ea, coupling, EDP, efficiency, tau) and 4 decoded latent parameters per measurement. Treatment response was quantified as the difference between post- and pre-treatment PINN outputs (delta = post − pre) for each parameter.</w:t>
      </w:r>
    </w:p>
    <w:p>
      <w:pPr>
        <w:pStyle w:val="Heading2"/>
        <w:spacing w:after="120" w:line="276"/>
        <w:jc w:val="both"/>
      </w:pPr>
      <w:r>
        <w:t xml:space="preserve">D. Causal Inference: Propensity Score Matching</w:t>
      </w:r>
    </w:p>
    <w:p>
      <w:pPr>
        <w:spacing w:after="120" w:line="276"/>
        <w:jc w:val="both"/>
      </w:pPr>
      <w:r>
        <w:t xml:space="preserve">For each drug class, we estimated propensity scores using logistic regression on 16 baseline covariates (pre-EF, pre-EDP, pre-Eed, pre-Ees, pre-Ea, pre-tau, pre-coupling, pre-efficiency, pre-HR, pre-SBP, pre-DBP, pre-EDV, pre-ESV, pre-CO, pre-e', pre-LAVI). One-to-one nearest-neighbor matching with a caliper of 0.2 standard deviations of the logit propensity score was performed. Covariate balance was assessed using standardized mean differences (SMD), with SMD &lt; 0.1 indicating adequate balance. Treatment effects were estimated as mean outcome differences between matched treated and control groups.</w:t>
      </w:r>
    </w:p>
    <w:p>
      <w:pPr>
        <w:pStyle w:val="Heading2"/>
        <w:spacing w:after="120" w:line="276"/>
        <w:jc w:val="both"/>
      </w:pPr>
      <w:r>
        <w:t xml:space="preserve">E. Causal Inference: Inverse Probability of Treatment Weighting</w:t>
      </w:r>
    </w:p>
    <w:p>
      <w:pPr>
        <w:spacing w:after="120" w:line="276"/>
        <w:jc w:val="both"/>
      </w:pPr>
      <w:r>
        <w:t xml:space="preserve">As a complementary approach, we computed stabilized IPTW weights from the same propensity scores (trimmed at the 1st and 99th percentiles). Average treatment effects (ATE) were estimated as weighted mean differences. Confidence intervals and p-values were obtained via 500 bootstrap resamples. Effective sample sizes were monitored to ensure adequate weighting.</w:t>
      </w:r>
    </w:p>
    <w:p>
      <w:pPr>
        <w:pStyle w:val="Heading2"/>
        <w:spacing w:after="120" w:line="276"/>
        <w:jc w:val="both"/>
      </w:pPr>
      <w:r>
        <w:t xml:space="preserve">F. Treatment Response Prediction</w:t>
      </w:r>
    </w:p>
    <w:p>
      <w:pPr>
        <w:spacing w:after="120" w:line="276"/>
        <w:jc w:val="both"/>
      </w:pPr>
      <w:r>
        <w:t xml:space="preserve">We defined EDP responders as patients with delta-EDP &lt;= −3 mmHg and EF responders as delta-EF &gt;= 5%. Gradient boosting classifiers (100 trees, max depth 3) were trained on 22 features (16 baseline PINN/echo parameters + 5 medication flags + days between studies) to predict responder status. Performance was evaluated using 5-fold stratified cross-validation AUC. Drug-specific models were trained within each medication subgroup.</w:t>
      </w:r>
    </w:p>
    <w:p>
      <w:pPr>
        <w:pStyle w:val="Heading2"/>
        <w:spacing w:after="120" w:line="276"/>
        <w:jc w:val="both"/>
      </w:pPr>
      <w:r>
        <w:t xml:space="preserve">G. Digital Twin Counterfactual Simulation</w:t>
      </w:r>
    </w:p>
    <w:p>
      <w:pPr>
        <w:spacing w:after="120" w:line="276"/>
        <w:jc w:val="both"/>
      </w:pPr>
      <w:r>
        <w:t xml:space="preserve">For each treated patient, a digital twin was constructed by applying pharmacologically informed perturbations to baseline echo inputs (e.g., ARNI: EDV ×0.90, ESV ×0.85, SBP ×0.88, DBP ×0.87, LAVI ×0.88, e' ×0.90) and re-running PINN inference. Literature-based multipliers were subsequently calibrated against observed population-level changes using median observed post/pre ratios. Predicted changes were compared against observed changes using Pearson correlation and MAE.</w:t>
      </w:r>
    </w:p>
    <w:p>
      <w:pPr>
        <w:pStyle w:val="Heading2"/>
        <w:spacing w:after="120" w:line="276"/>
        <w:jc w:val="both"/>
      </w:pPr>
      <w:r>
        <w:t xml:space="preserve">H. Drug-Drug Interaction Analysis</w:t>
      </w:r>
    </w:p>
    <w:p>
      <w:pPr>
        <w:spacing w:after="120" w:line="276"/>
        <w:jc w:val="both"/>
      </w:pPr>
      <w:r>
        <w:t xml:space="preserve">Pairwise interaction effects were computed within the HFrEF subgroup using a factorial decomposition: Interaction = E[both] − E[drug1 only] − E[drug2 only] + E[neither], where negative interaction for delta-EDP indicates synergy (greater-than-additive EDP reduction).</w:t>
      </w:r>
    </w:p>
    <w:p>
      <w:r>
        <w:br w:type="page"/>
      </w:r>
    </w:p>
    <w:p>
      <w:pPr>
        <w:pStyle w:val="Heading1"/>
        <w:spacing w:after="120" w:line="276"/>
        <w:jc w:val="both"/>
      </w:pPr>
      <w:r>
        <w:t xml:space="preserve">III. Results</w:t>
      </w:r>
    </w:p>
    <w:p>
      <w:pPr>
        <w:pStyle w:val="Heading2"/>
        <w:spacing w:after="120" w:line="276"/>
        <w:jc w:val="both"/>
      </w:pPr>
      <w:r>
        <w:t xml:space="preserve">A. Propensity Score Matching</w:t>
      </w:r>
    </w:p>
    <w:p>
      <w:pPr>
        <w:spacing w:after="120" w:line="276"/>
        <w:jc w:val="both"/>
      </w:pPr>
      <w:r>
        <w:t xml:space="preserve">PSM achieved adequate covariate balance (SMD &lt; 0.1) for all drug classes except ARNI (max SMD = 0.28, limited by n = 53). Table II summarizes key PSM results.</w:t>
      </w:r>
    </w:p>
    <w:p>
      <w:pPr>
        <w:spacing w:after="120" w:line="276"/>
        <w:jc w:val="center"/>
      </w:pPr>
      <w:r>
        <w:rPr>
          <w:b/>
          <w:bCs/>
          <w:sz w:val="20"/>
          <w:szCs w:val="20"/>
        </w:rPr>
        <w:t xml:space="preserve">TABLE II: Propensity Score-Matched Treatment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400"/>
        <w:gridCol w:w="1400"/>
        <w:gridCol w:w="1400"/>
        <w:gridCol w:w="1400"/>
        <w:gridCol w:w="1360"/>
      </w:tblGrid>
      <w:tr>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7"/>
                <w:szCs w:val="17"/>
              </w:rPr>
              <w:t xml:space="preserve">Drug Class</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7"/>
                <w:szCs w:val="17"/>
              </w:rPr>
              <w:t xml:space="preserve">N</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7"/>
                <w:szCs w:val="17"/>
              </w:rPr>
              <w:t xml:space="preserve">dEDP</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7"/>
                <w:szCs w:val="17"/>
              </w:rPr>
              <w:t xml:space="preserve">p</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7"/>
                <w:szCs w:val="17"/>
              </w:rPr>
              <w:t xml:space="preserve">dEF</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7"/>
                <w:szCs w:val="17"/>
              </w:rPr>
              <w:t xml:space="preserve">p</w:t>
            </w:r>
          </w:p>
        </w:tc>
        <w:tc>
          <w:tcPr>
            <w:tcW w:type="dxa" w:w="1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7"/>
                <w:szCs w:val="17"/>
              </w:rPr>
              <w:t xml:space="preserve">dTau</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Loop</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1757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+1.49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&lt;.001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-0.003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.389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+1.80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RAASi</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1106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+0.13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.752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-0.008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.067</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+0.95</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BB</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1873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-0.004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.280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+0.89</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MRA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428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+0.38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.581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+0.023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-0.05</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ARNI</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53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.678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-0.011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.638</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-2.51</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CCB</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1039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.056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-0.004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.344</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+1.73</w:t>
            </w:r>
          </w:p>
        </w:tc>
      </w:tr>
    </w:tbl>
    <w:p>
      <w:pPr>
        <w:spacing w:after="120" w:line="276"/>
        <w:jc w:val="both"/>
      </w:pPr>
      <w:r>
        <w:t xml:space="preserve">dEDP = PSM difference in delta-EDP (mmHg); dEF = PSM difference in delta-EF; dTau = PSM difference in delta-tau (ms). Bold p-values indicate significance at alpha = 0.05.</w:t>
      </w:r>
    </w:p>
    <w:p>
      <w:pPr>
        <w:pStyle w:val="Heading2"/>
        <w:spacing w:after="120" w:line="276"/>
        <w:jc w:val="both"/>
      </w:pPr>
      <w:r>
        <w:t xml:space="preserve">B. IPTW Concordance</w:t>
      </w:r>
    </w:p>
    <w:p>
      <w:pPr>
        <w:spacing w:after="120" w:line="276"/>
        <w:jc w:val="both"/>
      </w:pPr>
      <w:r>
        <w:t xml:space="preserve">IPTW produced concordant results for 12 of 28 drug-outcome pairs tested (same direction, both p &lt; 0.05). The strongest concordant finding was MRA on delta-EF: PSM +0.023 (p = 0.001), IPTW +0.019 (p = 0.004). Loop diuretics, BB, CCB, and hydralazine showed concordant increases in EDP, Eed, and tau — interpretable as confounding by indication (sicker patients receive these drugs and continue to deteriorate). ARNI showed directionally favorable trends (negative delta-EDP, delta-tau) but did not reach significance in either method due to small sample size (n = 53).</w:t>
      </w:r>
    </w:p>
    <w:p>
      <w:pPr>
        <w:pStyle w:val="Heading2"/>
        <w:spacing w:after="120" w:line="276"/>
        <w:jc w:val="both"/>
      </w:pPr>
      <w:r>
        <w:t xml:space="preserve">C. Treatment Response Prediction</w:t>
      </w:r>
    </w:p>
    <w:p>
      <w:pPr>
        <w:spacing w:after="120" w:line="276"/>
        <w:jc w:val="both"/>
      </w:pPr>
      <w:r>
        <w:t xml:space="preserve">The overall EDP responder model achieved AUC = 0.809 (5-fold CV). Baseline EDP was the dominant predictor (73.3% feature importance), indicating that patients with higher initial EDP are more likely to show meaningful reduction. Drug-specific models achieved: BB AUC = 0.784, RAASi = 0.774, Loop = 0.761, CCB = 0.752, MRA = 0.680. The EF responder model achieved AUC = 0.731.</w:t>
      </w:r>
    </w:p>
    <w:p>
      <w:pPr>
        <w:pStyle w:val="Heading2"/>
        <w:spacing w:after="120" w:line="276"/>
        <w:jc w:val="both"/>
      </w:pPr>
      <w:r>
        <w:t xml:space="preserve">D. Drug-Drug Interactions</w:t>
      </w:r>
    </w:p>
    <w:p>
      <w:pPr>
        <w:spacing w:after="120" w:line="276"/>
        <w:jc w:val="both"/>
      </w:pPr>
      <w:r>
        <w:t xml:space="preserve">Within the HFrEF subgroup (n = 469), RAASi + BB showed the strongest synergistic interaction for EDP reduction (interaction = −2.91 mmHg), followed by RAASi + MRA (−1.97 mmHg). BB + Loop was purely additive (0.00 mmHg). These results support the biological rationale for combined neurohormonal blockade.</w:t>
      </w:r>
    </w:p>
    <w:p>
      <w:pPr>
        <w:pStyle w:val="Heading2"/>
        <w:spacing w:after="120" w:line="276"/>
        <w:jc w:val="both"/>
      </w:pPr>
      <w:r>
        <w:t xml:space="preserve">E. Digital Twin Validation</w:t>
      </w:r>
    </w:p>
    <w:p>
      <w:pPr>
        <w:spacing w:after="120" w:line="276"/>
        <w:jc w:val="both"/>
      </w:pPr>
      <w:r>
        <w:t xml:space="preserve">Literature-based perturbation multipliers overestimated drug effects by 3–14 fold compared to observed changes (e.g., BB predicted delta-HR = −11.0 vs observed −0.8 bpm). After data-driven calibration, predicted and observed changes converged. For ARNI (the drug with the most pronounced effects), calibrated digital twin predictions showed r = 0.55 for delta-EDV, r = 0.73 for delta-DBP, and r = 0.63 for delta-e'. The twin accurately predicted the direction and approximate magnitude of ARNI effects: predicted delta-EDV = −14.8 vs observed −20.1 mL, predicted delta-CO = −0.40 vs observed −0.38 L/min.</w:t>
      </w:r>
    </w:p>
    <w:p>
      <w:pPr>
        <w:pStyle w:val="Heading2"/>
        <w:spacing w:after="120" w:line="276"/>
        <w:jc w:val="both"/>
      </w:pPr>
      <w:r>
        <w:t xml:space="preserve">F. HFrEF Subgroup PSM</w:t>
      </w:r>
    </w:p>
    <w:p>
      <w:pPr>
        <w:spacing w:after="120" w:line="276"/>
        <w:jc w:val="both"/>
      </w:pPr>
      <w:r>
        <w:t xml:space="preserve">In HFrEF-only PSM (n = 469), trends were consistent but underpowered. ARNI showed delta-EDP = −2.16 (d = −0.21, p = 0.376, n = 35 matched pairs) and RAASi showed delta-EDP = −1.90 (d = −0.21, p = 0.054). The effect sizes are clinically meaningful despite non-significance, suggesting that larger HFrEF cohorts would confirm these findings.</w:t>
      </w:r>
    </w:p>
    <w:p>
      <w:r>
        <w:br w:type="page"/>
      </w:r>
    </w:p>
    <w:p>
      <w:pPr>
        <w:pStyle w:val="Heading1"/>
        <w:spacing w:after="120" w:line="276"/>
        <w:jc w:val="both"/>
      </w:pPr>
      <w:r>
        <w:t xml:space="preserve">IV. Discussion</w:t>
      </w:r>
    </w:p>
    <w:p>
      <w:pPr>
        <w:spacing w:after="120" w:line="276"/>
        <w:jc w:val="both"/>
      </w:pPr>
      <w:r>
        <w:t xml:space="preserve">This study demonstrates that PINN-based hemodynamic profiling enables treatment-specific response analysis from retrospective echocardiographic data. Several findings merit discussion.</w:t>
      </w:r>
    </w:p>
    <w:p>
      <w:pPr>
        <w:spacing w:after="120" w:line="276"/>
        <w:jc w:val="both"/>
      </w:pPr>
      <w:r>
        <w:t xml:space="preserve">The concordance between PSM and IPTW estimates provides methodological triangulation that strengthens causal interpretation. Both methods address confounding by indication — the fundamental challenge in observational pharmacoepidemiology — through different statistical mechanisms. Where they agree (12 drug-outcome pairs), we have greater confidence in the direction and approximate magnitude of effects. The most robust finding, MRA improving EF by approximately 2 percentage points, aligns with the TOPCAT and RALES trial findings and validates the PINN's ability to detect known drug effects.</w:t>
      </w:r>
    </w:p>
    <w:p>
      <w:pPr>
        <w:spacing w:after="120" w:line="276"/>
        <w:jc w:val="both"/>
      </w:pPr>
      <w:r>
        <w:t xml:space="preserve">The dominant role of baseline EDP in predicting treatment response (73.3% feature importance) has important clinical implications. It suggests that patients with the highest filling pressures — those in greatest hemodynamic distress — stand to benefit most from aggressive therapy. This is consistent with the clinical observation that decompensated patients show the most dramatic improvement with appropriate treatment. However, it also means the model may partially capture regression to the mean, a limitation inherent in observational response prediction.</w:t>
      </w:r>
    </w:p>
    <w:p>
      <w:pPr>
        <w:spacing w:after="120" w:line="276"/>
        <w:jc w:val="both"/>
      </w:pPr>
      <w:r>
        <w:t xml:space="preserve">The drug-drug interaction analysis reveals that RAASi + BB synergy (−2.91 mmHg interaction) exceeds the sum of individual effects. This aligns with the biological rationale: RAASi blocks the renin-angiotensin-aldosterone system while beta-blockers block sympathetic activation — two distinct neurohormonal axes that amplify each other in HF. The purely additive effect of BB + Loop is also expected, as they operate through independent mechanisms (heart rate reduction vs volume depletion).</w:t>
      </w:r>
    </w:p>
    <w:p>
      <w:pPr>
        <w:spacing w:after="120" w:line="276"/>
        <w:jc w:val="both"/>
      </w:pPr>
      <w:r>
        <w:t xml:space="preserve">The digital twin framework represents a proof-of-concept for patient-specific counterfactual prediction. The key insight is that literature-based drug effect sizes substantially overestimate observed changes in real-world data, likely because: (1) clinical trial populations are selected, (2) adherence and dose optimization vary, and (3) concomitant therapies attenuate individual drug effects. Data-driven calibration addresses this, but the twin's accuracy ultimately depends on the PINN's sensitivity to input perturbations.</w:t>
      </w:r>
    </w:p>
    <w:p>
      <w:pPr>
        <w:spacing w:after="120" w:line="276"/>
        <w:jc w:val="both"/>
      </w:pPr>
      <w:r>
        <w:t xml:space="preserve">Limitations include: (1) the observational design cannot establish causality despite PSM/IPTW adjustment; unmeasured confounders (disease severity, comorbidities, physician prescribing patterns) may bias results. (2) ARNI and SGLT2i had very small sample sizes (n = 53 and 27), reflecting their recent introduction; larger prospective cohorts are needed. (3) The PINN was trained on synthetic data and has not been validated against invasive hemodynamics. (4) Medication timing, dosing, and adherence were approximated from prescription records. (5) The digital twin currently uses uniform perturbation multipliers rather than dose-dependent or patient-specific pharmacokinetic models.</w:t>
      </w:r>
    </w:p>
    <w:p>
      <w:pPr>
        <w:pStyle w:val="Heading1"/>
        <w:spacing w:after="120" w:line="276"/>
        <w:jc w:val="both"/>
      </w:pPr>
      <w:r>
        <w:t xml:space="preserve">V. Conclusion</w:t>
      </w:r>
    </w:p>
    <w:p>
      <w:pPr>
        <w:spacing w:after="120" w:line="276"/>
        <w:jc w:val="both"/>
      </w:pPr>
      <w:r>
        <w:t xml:space="preserve">A physics-informed neural network applied to serial echocardiographic data enables treatment-specific hemodynamic response analysis across 13 HF drug categories. Propensity score matching and inverse probability weighting provide concordant causal estimates for key drug-outcome pairs, with MRA effect on EF emerging as the most robust finding. Treatment response prediction achieves AUC = 0.809 for clinically meaningful EDP reduction, driven primarily by baseline hemodynamic severity. Drug-drug interaction analysis supports the synergistic benefit of combined neurohormonal blockade in HFrEF. The calibrated digital twin framework demonstrates feasibility of patient-specific counterfactual simulation, though further validation against prospective clinical data is warranted. This PINN-based approach may serve as a foundation for precision HF pharmacotherapy.</w:t>
      </w:r>
    </w:p>
    <w:p>
      <w:r>
        <w:br w:type="page"/>
      </w:r>
    </w:p>
    <w:p>
      <w:pPr>
        <w:pStyle w:val="Heading1"/>
        <w:spacing w:after="120" w:line="276"/>
        <w:jc w:val="both"/>
      </w:pPr>
      <w:r>
        <w:t xml:space="preserve">References</w:t>
      </w:r>
    </w:p>
    <w:p>
      <w:pPr>
        <w:spacing w:after="120" w:line="276"/>
        <w:jc w:val="both"/>
      </w:pPr>
      <w:r>
        <w:t xml:space="preserve">[1] P. Ponikowski et al., "2016 ESC guidelines for the diagnosis and treatment of acute and chronic heart failure," Eur. Heart J., vol. 37, no. 27, pp. 2129-2200, 2016.</w:t>
      </w:r>
    </w:p>
    <w:p>
      <w:pPr>
        <w:spacing w:after="120" w:line="276"/>
        <w:jc w:val="both"/>
      </w:pPr>
      <w:r>
        <w:t xml:space="preserve">[2] M. Raissi, P. Perdikaris, and G. E. Karniadakis, "Physics-informed neural networks: A deep learning framework for solving forward and inverse problems," J. Comput. Phys., vol. 378, pp. 686-707, 2019.</w:t>
      </w:r>
    </w:p>
    <w:p>
      <w:pPr>
        <w:spacing w:after="120" w:line="276"/>
        <w:jc w:val="both"/>
      </w:pPr>
      <w:r>
        <w:t xml:space="preserve">[3] A. L. Johnson et al., "MIMIC-IV, a freely accessible electronic health record dataset," Sci. Data, vol. 10, p. 1, 2023.</w:t>
      </w:r>
    </w:p>
    <w:p>
      <w:pPr>
        <w:spacing w:after="120" w:line="276"/>
        <w:jc w:val="both"/>
      </w:pPr>
      <w:r>
        <w:t xml:space="preserve">[4] B. Pitt et al., "The effect of spironolactone on morbidity and mortality in patients with severe heart failure," N. Engl. J. Med., vol. 341, no. 10, pp. 709-717, 1999.</w:t>
      </w:r>
    </w:p>
    <w:p>
      <w:pPr>
        <w:spacing w:after="120" w:line="276"/>
        <w:jc w:val="both"/>
      </w:pPr>
      <w:r>
        <w:t xml:space="preserve">[5] J. J. McMurray et al., "Angiotensin-neprilysin inhibition versus enalapril in heart failure," N. Engl. J. Med., vol. 371, no. 11, pp. 993-1004, 2014.</w:t>
      </w:r>
    </w:p>
    <w:p>
      <w:pPr>
        <w:spacing w:after="120" w:line="276"/>
        <w:jc w:val="both"/>
      </w:pPr>
      <w:r>
        <w:t xml:space="preserve">[6] P. R. Rosenbaum and D. B. Rubin, "The central role of the propensity score in observational studies for causal effects," Biometrika, vol. 70, no. 1, pp. 41-55, 1983.</w:t>
      </w:r>
    </w:p>
    <w:p>
      <w:pPr>
        <w:spacing w:after="120" w:line="276"/>
        <w:jc w:val="both"/>
      </w:pPr>
      <w:r>
        <w:t xml:space="preserve">[7] M. A. Hernan and J. M. Robins, "Estimating causal effects from epidemiological data," J. Epidemiol. Community Health, vol. 60, no. 7, pp. 578-586, 2006.</w:t>
      </w:r>
    </w:p>
    <w:p>
      <w:pPr>
        <w:spacing w:after="120" w:line="276"/>
        <w:jc w:val="both"/>
      </w:pPr>
      <w:r>
        <w:t xml:space="preserve">[8] D. A. Kass, "Ventricular arterial stiffening," Hypertension, vol. 46, no. 1, pp. 185-193, 2005.</w:t>
      </w:r>
    </w:p>
    <w:p>
      <w:pPr>
        <w:spacing w:after="120" w:line="276"/>
        <w:jc w:val="both"/>
      </w:pPr>
      <w:r>
        <w:t xml:space="preserve">[9] M. Packer et al., "Cardiovascular and renal outcomes with empagliflozin in heart failure," N. Engl. J. Med., vol. 383, no. 15, pp. 1413-1424, 2020.</w:t>
      </w:r>
    </w:p>
    <w:p>
      <w:pPr>
        <w:spacing w:after="120" w:line="276"/>
        <w:jc w:val="both"/>
      </w:pPr>
      <w:r>
        <w:t xml:space="preserve">[10] D. Burkhoff, I. Mirsky, and H. Suga, "Assessment of systolic and diastolic ventricular properties via pressure-volume analysis," Am. J. Physiol. Heart Circ. Physiol., vol. 289, pp. H501-H512, 2005.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IEEE Journal of Biomedical and Health Informatics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2026-05-27T16:13:47.582Z</dcterms:created>
  <dcterms:modified xsi:type="dcterms:W3CDTF">2026-05-27T16:13:47.583Z</dcterms:modified>
</cp:coreProperties>
</file>

<file path=docProps/custom.xml><?xml version="1.0" encoding="utf-8"?>
<Properties xmlns="http://schemas.openxmlformats.org/officeDocument/2006/custom-properties" xmlns:vt="http://schemas.openxmlformats.org/officeDocument/2006/docPropsVTypes"/>
</file>