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sz w:val="32"/>
          <w:szCs w:val="32"/>
        </w:rPr>
        <w:t xml:space="preserve">Hamiltonian Neural Networks for Energy-Based</w:t>
      </w:r>
    </w:p>
    <w:p>
      <w:pPr>
        <w:spacing w:after="200"/>
        <w:jc w:val="center"/>
      </w:pPr>
      <w:r>
        <w:rPr>
          <w:rFonts w:ascii="Arial" w:cs="Arial" w:eastAsia="Arial" w:hAnsi="Arial"/>
          <w:b/>
          <w:bCs/>
          <w:sz w:val="32"/>
          <w:szCs w:val="32"/>
        </w:rPr>
        <w:t xml:space="preserve">Cardiac Digital Twins: A Port-Hamiltonian</w:t>
      </w:r>
    </w:p>
    <w:p>
      <w:pPr>
        <w:spacing w:after="400"/>
        <w:jc w:val="center"/>
      </w:pPr>
      <w:r>
        <w:rPr>
          <w:rFonts w:ascii="Arial" w:cs="Arial" w:eastAsia="Arial" w:hAnsi="Arial"/>
          <w:b/>
          <w:bCs/>
          <w:sz w:val="32"/>
          <w:szCs w:val="32"/>
        </w:rPr>
        <w:t xml:space="preserve">Framework for Heart Failure Treatment Analysis</w:t>
      </w:r>
    </w:p>
    <w:p>
      <w:pPr>
        <w:spacing w:after="100"/>
        <w:jc w:val="center"/>
      </w:pPr>
      <w:r>
        <w:rPr>
          <w:rFonts w:ascii="Arial" w:cs="Arial" w:eastAsia="Arial" w:hAnsi="Arial"/>
          <w:sz w:val="24"/>
          <w:szCs w:val="24"/>
        </w:rPr>
        <w:t xml:space="preserve">Kwanhyeong Lee</w:t>
      </w:r>
    </w:p>
    <w:p>
      <w:pPr>
        <w:spacing w:after="80"/>
        <w:jc w:val="center"/>
      </w:pPr>
      <w:r>
        <w:rPr>
          <w:rFonts w:ascii="Arial" w:cs="Arial" w:eastAsia="Arial" w:hAnsi="Arial"/>
          <w:i/>
          <w:iCs/>
          <w:sz w:val="20"/>
          <w:szCs w:val="20"/>
        </w:rPr>
        <w:t xml:space="preserve">College of Medicine, [University]</w:t>
      </w:r>
    </w:p>
    <w:p>
      <w:pPr>
        <w:spacing w:after="400"/>
        <w:jc w:val="center"/>
      </w:pPr>
      <w:r>
        <w:rPr>
          <w:rFonts w:ascii="Arial" w:cs="Arial" w:eastAsia="Arial" w:hAnsi="Arial"/>
          <w:color w:val="2E75B6"/>
          <w:sz w:val="20"/>
          <w:szCs w:val="20"/>
        </w:rPr>
        <w:t xml:space="preserve">kwanhyeong.lee54@gmail.com</w:t>
      </w:r>
    </w:p>
    <w:p>
      <w:pPr>
        <w:spacing w:after="80"/>
        <w:jc w:val="center"/>
      </w:pPr>
      <w:r>
        <w:rPr>
          <w:rFonts w:ascii="Arial" w:cs="Arial" w:eastAsia="Arial" w:hAnsi="Arial"/>
          <w:b/>
          <w:bCs/>
          <w:sz w:val="20"/>
          <w:szCs w:val="20"/>
        </w:rPr>
        <w:t xml:space="preserve">Target Journal: </w:t>
      </w:r>
      <w:r>
        <w:rPr>
          <w:rFonts w:ascii="Arial" w:cs="Arial" w:eastAsia="Arial" w:hAnsi="Arial"/>
          <w:sz w:val="20"/>
          <w:szCs w:val="20"/>
        </w:rPr>
        <w:t xml:space="preserve">IEEE Journal of Biomedical and Health Informatics (JBHI)</w:t>
      </w:r>
    </w:p>
    <w:p>
      <w:pPr>
        <w:spacing w:after="80"/>
        <w:jc w:val="center"/>
      </w:pPr>
      <w:r>
        <w:rPr>
          <w:rFonts w:ascii="Arial" w:cs="Arial" w:eastAsia="Arial" w:hAnsi="Arial"/>
          <w:b/>
          <w:bCs/>
          <w:sz w:val="20"/>
          <w:szCs w:val="20"/>
        </w:rPr>
        <w:t xml:space="preserve">Paper 3 </w:t>
      </w:r>
      <w:r>
        <w:rPr>
          <w:rFonts w:ascii="Arial" w:cs="Arial" w:eastAsia="Arial" w:hAnsi="Arial"/>
          <w:sz w:val="20"/>
          <w:szCs w:val="20"/>
        </w:rPr>
        <w:t xml:space="preserve">of the PINN Cardiac Digital Twin Series</w:t>
      </w:r>
    </w:p>
    <w:p>
      <w:pPr>
        <w:spacing w:after="80"/>
        <w:jc w:val="center"/>
      </w:pPr>
      <w:r>
        <w:rPr>
          <w:rFonts w:ascii="Arial" w:cs="Arial" w:eastAsia="Arial" w:hAnsi="Arial"/>
          <w:sz w:val="20"/>
          <w:szCs w:val="20"/>
        </w:rPr>
        <w:t xml:space="preserve">Draft: June 2026</w:t>
      </w:r>
    </w:p>
    <w:p>
      <w:r>
        <w:br w:type="page"/>
      </w:r>
    </w:p>
    <w:p>
      <w:pPr>
        <w:pStyle w:val="Heading1"/>
        <w:spacing w:after="180" w:before="240"/>
      </w:pPr>
      <w:r>
        <w:rPr>
          <w:rFonts w:ascii="Arial" w:cs="Arial" w:eastAsia="Arial" w:hAnsi="Arial"/>
          <w:b/>
          <w:bCs/>
          <w:sz w:val="28"/>
          <w:szCs w:val="28"/>
        </w:rPr>
        <w:t xml:space="preserve">Abstract</w:t>
      </w:r>
    </w:p>
    <w:p>
      <w:pPr>
        <w:spacing w:after="120" w:line="360"/>
      </w:pPr>
      <w:r>
        <w:rPr>
          <w:rFonts w:ascii="Arial" w:cs="Arial" w:eastAsia="Arial" w:hAnsi="Arial"/>
          <w:b/>
          <w:bCs/>
          <w:sz w:val="22"/>
          <w:szCs w:val="22"/>
        </w:rPr>
        <w:t xml:space="preserve">Objective: </w:t>
      </w:r>
      <w:r>
        <w:rPr>
          <w:rFonts w:ascii="Arial" w:cs="Arial" w:eastAsia="Arial" w:hAnsi="Arial"/>
          <w:sz w:val="22"/>
          <w:szCs w:val="22"/>
        </w:rPr>
        <w:t xml:space="preserve">We present a port-Hamiltonian physics-informed neural network (pH-PINN) framework that reinterprets cardiac function through the lens of energy mechanics, enabling energy-based digital twin modeling of heart failure (HF) treatment responses from routine echocardiographic data.</w:t>
      </w:r>
    </w:p>
    <w:p>
      <w:pPr>
        <w:spacing w:after="120" w:line="360"/>
      </w:pPr>
      <w:r>
        <w:rPr>
          <w:rFonts w:ascii="Arial" w:cs="Arial" w:eastAsia="Arial" w:hAnsi="Arial"/>
          <w:b/>
          <w:bCs/>
          <w:sz w:val="22"/>
          <w:szCs w:val="22"/>
        </w:rPr>
        <w:t xml:space="preserve">Methods: </w:t>
      </w:r>
      <w:r>
        <w:rPr>
          <w:rFonts w:ascii="Arial" w:cs="Arial" w:eastAsia="Arial" w:hAnsi="Arial"/>
          <w:sz w:val="22"/>
          <w:szCs w:val="22"/>
        </w:rPr>
        <w:t xml:space="preserve">Using 5,851 paired echocardiographic measurements from MIMIC-IV, we computed a comprehensive cardiac energy landscape comprising kinetic energy (blood flow), potential energy (elastic storage), stroke work (SW), pressure-volume area (PVA), and total Hamiltonian (H = T + V). We analyzed nine HF drug classes as Hamiltonian perturbations (δH = δT + δV) and designed a port-Hamiltonian PINN architecture (57,798 parameters) that encodes echo data into canonical coordinates (q = volumes, p = flow momenta), learns separate kinetic and potential energy functions with physics-guaranteed properties, and derives clinical outputs through Hamilton’s equations with learnable dissipation.</w:t>
      </w:r>
    </w:p>
    <w:p>
      <w:pPr>
        <w:spacing w:after="120" w:line="360"/>
      </w:pPr>
      <w:r>
        <w:rPr>
          <w:rFonts w:ascii="Arial" w:cs="Arial" w:eastAsia="Arial" w:hAnsi="Arial"/>
          <w:b/>
          <w:bCs/>
          <w:sz w:val="22"/>
          <w:szCs w:val="22"/>
        </w:rPr>
        <w:t xml:space="preserve">Results: </w:t>
      </w:r>
      <w:r>
        <w:rPr>
          <w:rFonts w:ascii="Arial" w:cs="Arial" w:eastAsia="Arial" w:hAnsi="Arial"/>
          <w:sz w:val="22"/>
          <w:szCs w:val="22"/>
        </w:rPr>
        <w:t xml:space="preserve">HF phenotypes exhibited distinct energy profiles: HFrEF showed low total Hamiltonian (50,142 J-eq) with poor mechanical efficiency (η = 0.479) and VA coupling (0.827), while HFpEF maintained higher efficiency (η = 0.841) despite elevated potential energy. Drug perturbation analysis revealed energy signatures invisible to conventional metrics: ARNI produced the strongest δH = −10,007 (p = 0.001) through dual V + R modification; Digoxin uniquely increased kinetic energy (δT = +63.1); SGLT2 inhibitors acted as flow modifiers with the highest kinetic energy fraction among non-inotropes. The pH-PINN architecture maintained H = T + V partition consistency (error &lt; 0.001) with guaranteed positive-semidefinite dissipation.</w:t>
      </w:r>
    </w:p>
    <w:p>
      <w:pPr>
        <w:spacing w:after="120" w:line="360"/>
      </w:pPr>
      <w:r>
        <w:rPr>
          <w:rFonts w:ascii="Arial" w:cs="Arial" w:eastAsia="Arial" w:hAnsi="Arial"/>
          <w:b/>
          <w:bCs/>
          <w:sz w:val="22"/>
          <w:szCs w:val="22"/>
        </w:rPr>
        <w:t xml:space="preserve">Conclusion: </w:t>
      </w:r>
      <w:r>
        <w:rPr>
          <w:rFonts w:ascii="Arial" w:cs="Arial" w:eastAsia="Arial" w:hAnsi="Arial"/>
          <w:sz w:val="22"/>
          <w:szCs w:val="22"/>
        </w:rPr>
        <w:t xml:space="preserve">The Hamiltonian framework provides a physics-principled decomposition of cardiac energetics from non-invasive data, revealing drug-specific energy modification patterns and enabling energy-conserving digital twin simulations. This represents the first application of port-Hamiltonian neural networks to cardiac modeling from echocardiographic data.</w:t>
      </w:r>
    </w:p>
    <w:p>
      <w:pPr>
        <w:spacing w:after="120" w:line="360"/>
      </w:pPr>
      <w:r>
        <w:rPr>
          <w:rFonts w:ascii="Arial" w:cs="Arial" w:eastAsia="Arial" w:hAnsi="Arial"/>
          <w:b/>
          <w:bCs/>
          <w:sz w:val="20"/>
          <w:szCs w:val="20"/>
        </w:rPr>
        <w:t xml:space="preserve">Index Terms—</w:t>
      </w:r>
      <w:r>
        <w:rPr>
          <w:rFonts w:ascii="Arial" w:cs="Arial" w:eastAsia="Arial" w:hAnsi="Arial"/>
          <w:i/>
          <w:iCs/>
          <w:sz w:val="20"/>
          <w:szCs w:val="20"/>
        </w:rPr>
        <w:t xml:space="preserve">Hamiltonian mechanics, physics-informed neural networks, cardiac digital twin, heart failure, energy-based modeling, port-Hamiltonian systems</w:t>
      </w:r>
    </w:p>
    <w:p>
      <w:r>
        <w:br w:type="page"/>
      </w:r>
    </w:p>
    <w:p>
      <w:pPr>
        <w:pStyle w:val="Heading1"/>
        <w:spacing w:after="180" w:before="240"/>
      </w:pPr>
      <w:r>
        <w:rPr>
          <w:rFonts w:ascii="Arial" w:cs="Arial" w:eastAsia="Arial" w:hAnsi="Arial"/>
          <w:b/>
          <w:bCs/>
          <w:sz w:val="28"/>
          <w:szCs w:val="28"/>
        </w:rPr>
        <w:t xml:space="preserve">I. Introduction</w:t>
      </w:r>
    </w:p>
    <w:p>
      <w:pPr>
        <w:spacing w:after="120" w:line="360"/>
      </w:pPr>
      <w:r>
        <w:rPr>
          <w:rFonts w:ascii="Arial" w:cs="Arial" w:eastAsia="Arial" w:hAnsi="Arial"/>
          <w:sz w:val="22"/>
          <w:szCs w:val="22"/>
        </w:rPr>
        <w:t xml:space="preserve">Heart failure (HF) remains one of the most complex cardiovascular syndromes, affecting over 64 million people worldwide. The management of HF requires balancing multiple pharmacological interventions, each targeting different aspects of cardiac physiology. While considerable progress has been made in data-driven approaches to HF treatment optimization, including our prior work on physics-informed neural network (PINN) cardiac digital twins [Paper 1] and treatment response prediction [Paper 2], existing frameworks fundamentally lack a principled representation of the energy dynamics that govern cardiac function.</w:t>
      </w:r>
    </w:p>
    <w:p>
      <w:pPr>
        <w:spacing w:after="120" w:line="360"/>
      </w:pPr>
      <w:r>
        <w:rPr>
          <w:rFonts w:ascii="Arial" w:cs="Arial" w:eastAsia="Arial" w:hAnsi="Arial"/>
          <w:sz w:val="22"/>
          <w:szCs w:val="22"/>
        </w:rPr>
        <w:t xml:space="preserve">The heart is, at its core, an energy transduction system. Each cardiac cycle converts metabolic energy into mechanical work through pressure-volume dynamics, with efficiency determined by the interplay between contractile kinetic energy and elastic potential energy stored in the vasculature and myocardium. Classical cardiovascular physiology has long recognized the importance of energetic quantities—stroke work (SW), pressure-volume area (PVA), and mechanical efficiency (SW/PVA)—as fundamental descriptors of cardiac performance. Yet modern machine learning approaches to cardiac modeling rarely incorporate these energy-based perspectives, instead treating hemodynamic parameters as independent regression targets without the unifying structure that energy conservation provides.</w:t>
      </w:r>
    </w:p>
    <w:p>
      <w:pPr>
        <w:spacing w:after="120" w:line="360"/>
      </w:pPr>
      <w:r>
        <w:rPr>
          <w:rFonts w:ascii="Arial" w:cs="Arial" w:eastAsia="Arial" w:hAnsi="Arial"/>
          <w:sz w:val="22"/>
          <w:szCs w:val="22"/>
        </w:rPr>
        <w:t xml:space="preserve">Hamiltonian mechanics offers a natural mathematical framework for describing energy-conserving systems. In the Hamiltonian formulation, a system’s total energy H(q, p) is decomposed into kinetic energy T(p) and potential energy V(q), with the dynamics governed by Hamilton’s canonical equations: dq/dt = ∂H/∂p and dp/dt = −∂H/∂q. For dissipative systems such as the cardiovascular system, the port-Hamiltonian framework extends this by introducing a dissipation matrix R and input ports for external forces:</w:t>
      </w:r>
    </w:p>
    <w:p>
      <w:pPr>
        <w:spacing w:after="120" w:before="120"/>
        <w:jc w:val="center"/>
      </w:pPr>
      <w:r>
        <w:rPr>
          <w:rFonts w:ascii="Arial" w:cs="Arial" w:eastAsia="Arial" w:hAnsi="Arial"/>
          <w:sz w:val="22"/>
          <w:szCs w:val="22"/>
        </w:rPr>
        <w:t xml:space="preserve">    ẋ = [J(x) − R(x)] ∂H/∂x + g(x)u</w:t>
      </w:r>
    </w:p>
    <w:p>
      <w:pPr>
        <w:spacing w:after="120" w:line="360"/>
      </w:pPr>
      <w:r>
        <w:rPr>
          <w:rFonts w:ascii="Arial" w:cs="Arial" w:eastAsia="Arial" w:hAnsi="Arial"/>
          <w:sz w:val="22"/>
          <w:szCs w:val="22"/>
        </w:rPr>
        <w:t xml:space="preserve">where J is an antisymmetric interconnection matrix encoding the topology of energy exchange (e.g., valve-mediated flow between chambers), R is a positive-semidefinite dissipation matrix capturing viscous and resistive losses, and g(x)u represents external inputs including pharmacological interventions.</w:t>
      </w:r>
    </w:p>
    <w:p>
      <w:pPr>
        <w:spacing w:after="120" w:line="360"/>
      </w:pPr>
      <w:r>
        <w:rPr>
          <w:rFonts w:ascii="Arial" w:cs="Arial" w:eastAsia="Arial" w:hAnsi="Arial"/>
          <w:sz w:val="22"/>
          <w:szCs w:val="22"/>
        </w:rPr>
        <w:t xml:space="preserve">Recent advances in structure-preserving neural networks have demonstrated that embedding Hamiltonian or Lagrangian structure into network architectures yields superior generalization, long-term stability, and physical interpretability compared to unconstrained neural ODEs. Greydanus et al. introduced Hamiltonian Neural Networks (HNNs), which learn the Hamiltonian function H and derive dynamics through automatic differentiation. Subsequent work by Bhattoo et al. extended this to Lagrangian Graph Neural Networks (LGnn), and Tong et al. proposed Taylor-net with symplectic structure. However, these methods have been applied primarily to mechanical and molecular systems; no prior work has applied Hamiltonian or Lagrangian neural networks to cardiac modeling, and none has attempted to learn cardiac energetics from non-invasive echocardiographic data.</w:t>
      </w:r>
    </w:p>
    <w:p>
      <w:pPr>
        <w:spacing w:after="120" w:line="360"/>
      </w:pPr>
      <w:r>
        <w:rPr>
          <w:rFonts w:ascii="Arial" w:cs="Arial" w:eastAsia="Arial" w:hAnsi="Arial"/>
          <w:sz w:val="22"/>
          <w:szCs w:val="22"/>
        </w:rPr>
        <w:t xml:space="preserve">In this paper, we present three contributions. First, we compute a comprehensive cardiac energy landscape from 5,851 paired echocardiographic measurements, deriving kinetic energy, potential energy, and total Hamiltonian for each patient encounter. Second, we analyze nine classes of HF medications as Hamiltonian perturbations, revealing drug-specific energy modification signatures that are invisible to conventional hemodynamic analysis. Third, we design and validate a port-Hamiltonian PINN (pH-PINN) architecture that learns separate energy functions with physics-guaranteed properties, derives clinical outputs through Hamilton’s equations, and simulates drug effects as energy-space perturbations. To our knowledge, this is the first application of Hamiltonian neural networks to cardiac modeling from echocardiographic data.</w:t>
      </w:r>
    </w:p>
    <w:p>
      <w:r>
        <w:br w:type="page"/>
      </w:r>
    </w:p>
    <w:p>
      <w:pPr>
        <w:pStyle w:val="Heading1"/>
        <w:spacing w:after="180" w:before="240"/>
      </w:pPr>
      <w:r>
        <w:rPr>
          <w:rFonts w:ascii="Arial" w:cs="Arial" w:eastAsia="Arial" w:hAnsi="Arial"/>
          <w:b/>
          <w:bCs/>
          <w:sz w:val="28"/>
          <w:szCs w:val="28"/>
        </w:rPr>
        <w:t xml:space="preserve">II. Methods</w:t>
      </w:r>
    </w:p>
    <w:p>
      <w:pPr>
        <w:pStyle w:val="Heading2"/>
        <w:spacing w:after="180" w:before="240"/>
      </w:pPr>
      <w:r>
        <w:rPr>
          <w:rFonts w:ascii="Arial" w:cs="Arial" w:eastAsia="Arial" w:hAnsi="Arial"/>
          <w:b/>
          <w:bCs/>
          <w:sz w:val="24"/>
          <w:szCs w:val="24"/>
        </w:rPr>
        <w:t xml:space="preserve">A. Study Population and Data Source</w:t>
      </w:r>
    </w:p>
    <w:p>
      <w:pPr>
        <w:spacing w:after="120" w:line="360"/>
      </w:pPr>
      <w:r>
        <w:rPr>
          <w:rFonts w:ascii="Arial" w:cs="Arial" w:eastAsia="Arial" w:hAnsi="Arial"/>
          <w:sz w:val="22"/>
          <w:szCs w:val="22"/>
        </w:rPr>
        <w:t xml:space="preserve">We utilized the Medical Information Mart for Intensive Care IV (MIMIC-IV) database, which contains comprehensive clinical data from Beth Israel Deaconess Medical Center. Our cohort comprised 5,851 paired echocardiographic measurements from patients with documented HF, extracted as described in Paper 1 of this series. Each pair consisted of a pre-treatment and post-treatment echocardiogram with matched medication exposure data for nine drug classes: loop diuretics (n = 1,876), mineralocorticoid receptor antagonists (MRA; n = 433), renin-angiotensin-aldosterone system inhibitors (RAASi; n = 1,106), beta-blockers (n = 1,942), angiotensin receptor-neprilysin inhibitors (ARNI; n = 53), calcium channel blockers (CCB; n = 1,039), SGLT2 inhibitors (n = 27), hydralazine (n = 639), and digoxin (n = 22). HF phenotypes were classified by LVEF: HFrEF (≤40%, n = 469), HFmrEF (41–49%, n = 472), and HFpEF (≥50%, n = 4,910).</w:t>
      </w:r>
    </w:p>
    <w:p>
      <w:pPr>
        <w:pStyle w:val="Heading2"/>
        <w:spacing w:after="180" w:before="240"/>
      </w:pPr>
      <w:r>
        <w:rPr>
          <w:rFonts w:ascii="Arial" w:cs="Arial" w:eastAsia="Arial" w:hAnsi="Arial"/>
          <w:b/>
          <w:bCs/>
          <w:sz w:val="24"/>
          <w:szCs w:val="24"/>
        </w:rPr>
        <w:t xml:space="preserve">B. Cardiac Energy Computation from Echocardiographic Data</w:t>
      </w:r>
    </w:p>
    <w:p>
      <w:pPr>
        <w:spacing w:after="120" w:line="360"/>
      </w:pPr>
      <w:r>
        <w:rPr>
          <w:rFonts w:ascii="Arial" w:cs="Arial" w:eastAsia="Arial" w:hAnsi="Arial"/>
          <w:sz w:val="22"/>
          <w:szCs w:val="22"/>
        </w:rPr>
        <w:t xml:space="preserve">We computed 13 energy-derived metrics from echocardiographic parameters using established physiological relationships. The Hamiltonian framework requires decomposition of total energy into kinetic and potential components.</w:t>
      </w:r>
    </w:p>
    <w:p>
      <w:pPr>
        <w:spacing w:after="120" w:line="360"/>
      </w:pPr>
      <w:r>
        <w:rPr>
          <w:rFonts w:ascii="Arial" w:cs="Arial" w:eastAsia="Arial" w:hAnsi="Arial"/>
          <w:b/>
          <w:bCs/>
          <w:sz w:val="22"/>
          <w:szCs w:val="22"/>
        </w:rPr>
        <w:t xml:space="preserve">Stroke Work (SW) </w:t>
      </w:r>
      <w:r>
        <w:rPr>
          <w:rFonts w:ascii="Arial" w:cs="Arial" w:eastAsia="Arial" w:hAnsi="Arial"/>
          <w:sz w:val="22"/>
          <w:szCs w:val="22"/>
        </w:rPr>
        <w:t xml:space="preserve">was computed as the product of stroke volume (SV) and mean arterial pressure (MAP), with unit conversion from mmHg·mL to Joules (1 mmHg·mL = 1.333 × 10</w:t>
      </w:r>
      <w:r>
        <w:rPr>
          <w:rFonts w:ascii="Arial" w:cs="Arial" w:eastAsia="Arial" w:hAnsi="Arial"/>
          <w:sz w:val="18"/>
          <w:szCs w:val="18"/>
          <w:vertAlign w:val="superscript"/>
        </w:rPr>
        <w:t xml:space="preserve">-4</w:t>
      </w:r>
      <w:r>
        <w:rPr>
          <w:rFonts w:ascii="Arial" w:cs="Arial" w:eastAsia="Arial" w:hAnsi="Arial"/>
          <w:sz w:val="22"/>
          <w:szCs w:val="22"/>
        </w:rPr>
        <w:t xml:space="preserve"> J): SW = SV × MAP × 1.333 × 10</w:t>
      </w:r>
      <w:r>
        <w:rPr>
          <w:rFonts w:ascii="Arial" w:cs="Arial" w:eastAsia="Arial" w:hAnsi="Arial"/>
          <w:sz w:val="18"/>
          <w:szCs w:val="18"/>
          <w:vertAlign w:val="superscript"/>
        </w:rPr>
        <w:t xml:space="preserve">-4</w:t>
      </w:r>
      <w:r>
        <w:rPr>
          <w:rFonts w:ascii="Arial" w:cs="Arial" w:eastAsia="Arial" w:hAnsi="Arial"/>
          <w:sz w:val="22"/>
          <w:szCs w:val="22"/>
        </w:rPr>
        <w:t xml:space="preserve">. End-systolic pressure (ESP) was approximated as 0.9 × SBP.</w:t>
      </w:r>
    </w:p>
    <w:p>
      <w:pPr>
        <w:spacing w:after="120" w:line="360"/>
      </w:pPr>
      <w:r>
        <w:rPr>
          <w:rFonts w:ascii="Arial" w:cs="Arial" w:eastAsia="Arial" w:hAnsi="Arial"/>
          <w:b/>
          <w:bCs/>
          <w:sz w:val="22"/>
          <w:szCs w:val="22"/>
        </w:rPr>
        <w:t xml:space="preserve">Potential Energy </w:t>
      </w:r>
      <w:r>
        <w:rPr>
          <w:rFonts w:ascii="Arial" w:cs="Arial" w:eastAsia="Arial" w:hAnsi="Arial"/>
          <w:sz w:val="22"/>
          <w:szCs w:val="22"/>
        </w:rPr>
        <w:t xml:space="preserve">was computed from end-systolic (PE</w:t>
      </w:r>
      <w:r>
        <w:rPr>
          <w:rFonts w:ascii="Arial" w:cs="Arial" w:eastAsia="Arial" w:hAnsi="Arial"/>
          <w:sz w:val="18"/>
          <w:szCs w:val="18"/>
          <w:vertAlign w:val="superscript"/>
        </w:rPr>
        <w:t xml:space="preserve">es</w:t>
      </w:r>
      <w:r>
        <w:rPr>
          <w:rFonts w:ascii="Arial" w:cs="Arial" w:eastAsia="Arial" w:hAnsi="Arial"/>
          <w:sz w:val="22"/>
          <w:szCs w:val="22"/>
        </w:rPr>
        <w:t xml:space="preserve">) and end-diastolic (PE</w:t>
      </w:r>
      <w:r>
        <w:rPr>
          <w:rFonts w:ascii="Arial" w:cs="Arial" w:eastAsia="Arial" w:hAnsi="Arial"/>
          <w:sz w:val="18"/>
          <w:szCs w:val="18"/>
          <w:vertAlign w:val="superscript"/>
        </w:rPr>
        <w:t xml:space="preserve">ed</w:t>
      </w:r>
      <w:r>
        <w:rPr>
          <w:rFonts w:ascii="Arial" w:cs="Arial" w:eastAsia="Arial" w:hAnsi="Arial"/>
          <w:sz w:val="22"/>
          <w:szCs w:val="22"/>
        </w:rPr>
        <w:t xml:space="preserve">) elastic storage: PE</w:t>
      </w:r>
      <w:r>
        <w:rPr>
          <w:rFonts w:ascii="Arial" w:cs="Arial" w:eastAsia="Arial" w:hAnsi="Arial"/>
          <w:sz w:val="18"/>
          <w:szCs w:val="18"/>
          <w:vertAlign w:val="superscript"/>
        </w:rPr>
        <w:t xml:space="preserve">es</w:t>
      </w:r>
      <w:r>
        <w:rPr>
          <w:rFonts w:ascii="Arial" w:cs="Arial" w:eastAsia="Arial" w:hAnsi="Arial"/>
          <w:sz w:val="22"/>
          <w:szCs w:val="22"/>
        </w:rPr>
        <w:t xml:space="preserve"> = ½ × E</w:t>
      </w:r>
      <w:r>
        <w:rPr>
          <w:rFonts w:ascii="Arial" w:cs="Arial" w:eastAsia="Arial" w:hAnsi="Arial"/>
          <w:sz w:val="18"/>
          <w:szCs w:val="18"/>
          <w:vertAlign w:val="superscript"/>
        </w:rPr>
        <w:t xml:space="preserve">es</w:t>
      </w:r>
      <w:r>
        <w:rPr>
          <w:rFonts w:ascii="Arial" w:cs="Arial" w:eastAsia="Arial" w:hAnsi="Arial"/>
          <w:sz w:val="22"/>
          <w:szCs w:val="22"/>
        </w:rPr>
        <w:t xml:space="preserve"> × (ESV − V</w:t>
      </w:r>
      <w:r>
        <w:rPr>
          <w:rFonts w:ascii="Arial" w:cs="Arial" w:eastAsia="Arial" w:hAnsi="Arial"/>
          <w:sz w:val="18"/>
          <w:szCs w:val="18"/>
          <w:vertAlign w:val="superscript"/>
        </w:rPr>
        <w:t xml:space="preserve">0</w:t>
      </w:r>
      <w:r>
        <w:rPr>
          <w:rFonts w:ascii="Arial" w:cs="Arial" w:eastAsia="Arial" w:hAnsi="Arial"/>
          <w:sz w:val="22"/>
          <w:szCs w:val="22"/>
        </w:rPr>
        <w:t xml:space="preserve">)</w:t>
      </w:r>
      <w:r>
        <w:rPr>
          <w:rFonts w:ascii="Arial" w:cs="Arial" w:eastAsia="Arial" w:hAnsi="Arial"/>
          <w:sz w:val="18"/>
          <w:szCs w:val="18"/>
          <w:vertAlign w:val="superscript"/>
        </w:rPr>
        <w:t xml:space="preserve">2</w:t>
      </w:r>
      <w:r>
        <w:rPr>
          <w:rFonts w:ascii="Arial" w:cs="Arial" w:eastAsia="Arial" w:hAnsi="Arial"/>
          <w:sz w:val="22"/>
          <w:szCs w:val="22"/>
        </w:rPr>
        <w:t xml:space="preserve"> and PE</w:t>
      </w:r>
      <w:r>
        <w:rPr>
          <w:rFonts w:ascii="Arial" w:cs="Arial" w:eastAsia="Arial" w:hAnsi="Arial"/>
          <w:sz w:val="18"/>
          <w:szCs w:val="18"/>
          <w:vertAlign w:val="superscript"/>
        </w:rPr>
        <w:t xml:space="preserve">ed</w:t>
      </w:r>
      <w:r>
        <w:rPr>
          <w:rFonts w:ascii="Arial" w:cs="Arial" w:eastAsia="Arial" w:hAnsi="Arial"/>
          <w:sz w:val="22"/>
          <w:szCs w:val="22"/>
        </w:rPr>
        <w:t xml:space="preserve"> = ½ × E</w:t>
      </w:r>
      <w:r>
        <w:rPr>
          <w:rFonts w:ascii="Arial" w:cs="Arial" w:eastAsia="Arial" w:hAnsi="Arial"/>
          <w:sz w:val="18"/>
          <w:szCs w:val="18"/>
          <w:vertAlign w:val="superscript"/>
        </w:rPr>
        <w:t xml:space="preserve">ed</w:t>
      </w:r>
      <w:r>
        <w:rPr>
          <w:rFonts w:ascii="Arial" w:cs="Arial" w:eastAsia="Arial" w:hAnsi="Arial"/>
          <w:sz w:val="22"/>
          <w:szCs w:val="22"/>
        </w:rPr>
        <w:t xml:space="preserve"> × EDV</w:t>
      </w:r>
      <w:r>
        <w:rPr>
          <w:rFonts w:ascii="Arial" w:cs="Arial" w:eastAsia="Arial" w:hAnsi="Arial"/>
          <w:sz w:val="18"/>
          <w:szCs w:val="18"/>
          <w:vertAlign w:val="superscript"/>
        </w:rPr>
        <w:t xml:space="preserve">2</w:t>
      </w:r>
      <w:r>
        <w:rPr>
          <w:rFonts w:ascii="Arial" w:cs="Arial" w:eastAsia="Arial" w:hAnsi="Arial"/>
          <w:sz w:val="22"/>
          <w:szCs w:val="22"/>
        </w:rPr>
        <w:t xml:space="preserve">, where elastance values E</w:t>
      </w:r>
      <w:r>
        <w:rPr>
          <w:rFonts w:ascii="Arial" w:cs="Arial" w:eastAsia="Arial" w:hAnsi="Arial"/>
          <w:sz w:val="18"/>
          <w:szCs w:val="18"/>
          <w:vertAlign w:val="superscript"/>
        </w:rPr>
        <w:t xml:space="preserve">es</w:t>
      </w:r>
      <w:r>
        <w:rPr>
          <w:rFonts w:ascii="Arial" w:cs="Arial" w:eastAsia="Arial" w:hAnsi="Arial"/>
          <w:sz w:val="22"/>
          <w:szCs w:val="22"/>
        </w:rPr>
        <w:t xml:space="preserve"> and E</w:t>
      </w:r>
      <w:r>
        <w:rPr>
          <w:rFonts w:ascii="Arial" w:cs="Arial" w:eastAsia="Arial" w:hAnsi="Arial"/>
          <w:sz w:val="18"/>
          <w:szCs w:val="18"/>
          <w:vertAlign w:val="superscript"/>
        </w:rPr>
        <w:t xml:space="preserve">ed</w:t>
      </w:r>
      <w:r>
        <w:rPr>
          <w:rFonts w:ascii="Arial" w:cs="Arial" w:eastAsia="Arial" w:hAnsi="Arial"/>
          <w:sz w:val="22"/>
          <w:szCs w:val="22"/>
        </w:rPr>
        <w:t xml:space="preserve"> were obtained from PINN v4 inference [Paper 1].</w:t>
      </w:r>
    </w:p>
    <w:p>
      <w:pPr>
        <w:spacing w:after="120" w:line="360"/>
      </w:pPr>
      <w:r>
        <w:rPr>
          <w:rFonts w:ascii="Arial" w:cs="Arial" w:eastAsia="Arial" w:hAnsi="Arial"/>
          <w:b/>
          <w:bCs/>
          <w:sz w:val="22"/>
          <w:szCs w:val="22"/>
        </w:rPr>
        <w:t xml:space="preserve">Pressure-Volume Area (PVA) </w:t>
      </w:r>
      <w:r>
        <w:rPr>
          <w:rFonts w:ascii="Arial" w:cs="Arial" w:eastAsia="Arial" w:hAnsi="Arial"/>
          <w:sz w:val="22"/>
          <w:szCs w:val="22"/>
        </w:rPr>
        <w:t xml:space="preserve">was computed as SW + PE</w:t>
      </w:r>
      <w:r>
        <w:rPr>
          <w:rFonts w:ascii="Arial" w:cs="Arial" w:eastAsia="Arial" w:hAnsi="Arial"/>
          <w:sz w:val="18"/>
          <w:szCs w:val="18"/>
          <w:vertAlign w:val="superscript"/>
        </w:rPr>
        <w:t xml:space="preserve">es</w:t>
      </w:r>
      <w:r>
        <w:rPr>
          <w:rFonts w:ascii="Arial" w:cs="Arial" w:eastAsia="Arial" w:hAnsi="Arial"/>
          <w:sz w:val="22"/>
          <w:szCs w:val="22"/>
        </w:rPr>
        <w:t xml:space="preserve"> + PE</w:t>
      </w:r>
      <w:r>
        <w:rPr>
          <w:rFonts w:ascii="Arial" w:cs="Arial" w:eastAsia="Arial" w:hAnsi="Arial"/>
          <w:sz w:val="18"/>
          <w:szCs w:val="18"/>
          <w:vertAlign w:val="superscript"/>
        </w:rPr>
        <w:t xml:space="preserve">ed</w:t>
      </w:r>
      <w:r>
        <w:rPr>
          <w:rFonts w:ascii="Arial" w:cs="Arial" w:eastAsia="Arial" w:hAnsi="Arial"/>
          <w:sz w:val="22"/>
          <w:szCs w:val="22"/>
        </w:rPr>
        <w:t xml:space="preserve">, representing total mechanical energy consumption per cardiac cycle. Mechanical efficiency was defined as η = SW/PVA.</w:t>
      </w:r>
    </w:p>
    <w:p>
      <w:pPr>
        <w:spacing w:after="120" w:line="360"/>
      </w:pPr>
      <w:r>
        <w:rPr>
          <w:rFonts w:ascii="Arial" w:cs="Arial" w:eastAsia="Arial" w:hAnsi="Arial"/>
          <w:b/>
          <w:bCs/>
          <w:sz w:val="22"/>
          <w:szCs w:val="22"/>
        </w:rPr>
        <w:t xml:space="preserve">Kinetic Energy (KE) </w:t>
      </w:r>
      <w:r>
        <w:rPr>
          <w:rFonts w:ascii="Arial" w:cs="Arial" w:eastAsia="Arial" w:hAnsi="Arial"/>
          <w:sz w:val="22"/>
          <w:szCs w:val="22"/>
        </w:rPr>
        <w:t xml:space="preserve">of blood flow was estimated as KE = ½ × ρ × V</w:t>
      </w:r>
      <w:r>
        <w:rPr>
          <w:rFonts w:ascii="Arial" w:cs="Arial" w:eastAsia="Arial" w:hAnsi="Arial"/>
          <w:sz w:val="18"/>
          <w:szCs w:val="18"/>
          <w:vertAlign w:val="superscript"/>
        </w:rPr>
        <w:t xml:space="preserve">LVOT</w:t>
      </w:r>
      <w:r>
        <w:rPr>
          <w:rFonts w:ascii="Arial" w:cs="Arial" w:eastAsia="Arial" w:hAnsi="Arial"/>
          <w:sz w:val="22"/>
          <w:szCs w:val="22"/>
        </w:rPr>
        <w:t xml:space="preserve"> × v</w:t>
      </w:r>
      <w:r>
        <w:rPr>
          <w:rFonts w:ascii="Arial" w:cs="Arial" w:eastAsia="Arial" w:hAnsi="Arial"/>
          <w:sz w:val="18"/>
          <w:szCs w:val="18"/>
          <w:vertAlign w:val="superscript"/>
        </w:rPr>
        <w:t xml:space="preserve">2</w:t>
      </w:r>
      <w:r>
        <w:rPr>
          <w:rFonts w:ascii="Arial" w:cs="Arial" w:eastAsia="Arial" w:hAnsi="Arial"/>
          <w:sz w:val="22"/>
          <w:szCs w:val="22"/>
        </w:rPr>
        <w:t xml:space="preserve">, where ρ = 1060 kg/m</w:t>
      </w:r>
      <w:r>
        <w:rPr>
          <w:rFonts w:ascii="Arial" w:cs="Arial" w:eastAsia="Arial" w:hAnsi="Arial"/>
          <w:sz w:val="18"/>
          <w:szCs w:val="18"/>
          <w:vertAlign w:val="superscript"/>
        </w:rPr>
        <w:t xml:space="preserve">3</w:t>
      </w:r>
      <w:r>
        <w:rPr>
          <w:rFonts w:ascii="Arial" w:cs="Arial" w:eastAsia="Arial" w:hAnsi="Arial"/>
          <w:sz w:val="22"/>
          <w:szCs w:val="22"/>
        </w:rPr>
        <w:t xml:space="preserve"> (blood density) and v was derived from cardiac output and LVOT cross-sectional area. Arterial elastic energy E</w:t>
      </w:r>
      <w:r>
        <w:rPr>
          <w:rFonts w:ascii="Arial" w:cs="Arial" w:eastAsia="Arial" w:hAnsi="Arial"/>
          <w:sz w:val="18"/>
          <w:szCs w:val="18"/>
          <w:vertAlign w:val="superscript"/>
        </w:rPr>
        <w:t xml:space="preserve">arterial</w:t>
      </w:r>
      <w:r>
        <w:rPr>
          <w:rFonts w:ascii="Arial" w:cs="Arial" w:eastAsia="Arial" w:hAnsi="Arial"/>
          <w:sz w:val="22"/>
          <w:szCs w:val="22"/>
        </w:rPr>
        <w:t xml:space="preserve"> was computed as ½ × E</w:t>
      </w:r>
      <w:r>
        <w:rPr>
          <w:rFonts w:ascii="Arial" w:cs="Arial" w:eastAsia="Arial" w:hAnsi="Arial"/>
          <w:sz w:val="18"/>
          <w:szCs w:val="18"/>
          <w:vertAlign w:val="superscript"/>
        </w:rPr>
        <w:t xml:space="preserve">a</w:t>
      </w:r>
      <w:r>
        <w:rPr>
          <w:rFonts w:ascii="Arial" w:cs="Arial" w:eastAsia="Arial" w:hAnsi="Arial"/>
          <w:sz w:val="22"/>
          <w:szCs w:val="22"/>
        </w:rPr>
        <w:t xml:space="preserve"> × SV</w:t>
      </w:r>
      <w:r>
        <w:rPr>
          <w:rFonts w:ascii="Arial" w:cs="Arial" w:eastAsia="Arial" w:hAnsi="Arial"/>
          <w:sz w:val="18"/>
          <w:szCs w:val="18"/>
          <w:vertAlign w:val="superscript"/>
        </w:rPr>
        <w:t xml:space="preserve">2</w:t>
      </w:r>
      <w:r>
        <w:rPr>
          <w:rFonts w:ascii="Arial" w:cs="Arial" w:eastAsia="Arial" w:hAnsi="Arial"/>
          <w:sz w:val="22"/>
          <w:szCs w:val="22"/>
        </w:rPr>
        <w:t xml:space="preserve">.</w:t>
      </w:r>
    </w:p>
    <w:p>
      <w:pPr>
        <w:spacing w:after="120" w:line="360"/>
      </w:pPr>
      <w:r>
        <w:rPr>
          <w:rFonts w:ascii="Arial" w:cs="Arial" w:eastAsia="Arial" w:hAnsi="Arial"/>
          <w:b/>
          <w:bCs/>
          <w:sz w:val="22"/>
          <w:szCs w:val="22"/>
        </w:rPr>
        <w:t xml:space="preserve">Total Hamiltonian </w:t>
      </w:r>
      <w:r>
        <w:rPr>
          <w:rFonts w:ascii="Arial" w:cs="Arial" w:eastAsia="Arial" w:hAnsi="Arial"/>
          <w:sz w:val="22"/>
          <w:szCs w:val="22"/>
        </w:rPr>
        <w:t xml:space="preserve">was defined as H = T + V, where kinetic energy T encompassed blood flow KE (with contributions from mitral and aortic valve gradients where available) and potential energy V comprised elastic storage energy in the ventricle and arterial system: V = PE</w:t>
      </w:r>
      <w:r>
        <w:rPr>
          <w:rFonts w:ascii="Arial" w:cs="Arial" w:eastAsia="Arial" w:hAnsi="Arial"/>
          <w:sz w:val="18"/>
          <w:szCs w:val="18"/>
          <w:vertAlign w:val="superscript"/>
        </w:rPr>
        <w:t xml:space="preserve">es</w:t>
      </w:r>
      <w:r>
        <w:rPr>
          <w:rFonts w:ascii="Arial" w:cs="Arial" w:eastAsia="Arial" w:hAnsi="Arial"/>
          <w:sz w:val="22"/>
          <w:szCs w:val="22"/>
        </w:rPr>
        <w:t xml:space="preserve"> + PE</w:t>
      </w:r>
      <w:r>
        <w:rPr>
          <w:rFonts w:ascii="Arial" w:cs="Arial" w:eastAsia="Arial" w:hAnsi="Arial"/>
          <w:sz w:val="18"/>
          <w:szCs w:val="18"/>
          <w:vertAlign w:val="superscript"/>
        </w:rPr>
        <w:t xml:space="preserve">ed</w:t>
      </w:r>
      <w:r>
        <w:rPr>
          <w:rFonts w:ascii="Arial" w:cs="Arial" w:eastAsia="Arial" w:hAnsi="Arial"/>
          <w:sz w:val="22"/>
          <w:szCs w:val="22"/>
        </w:rPr>
        <w:t xml:space="preserve"> + E</w:t>
      </w:r>
      <w:r>
        <w:rPr>
          <w:rFonts w:ascii="Arial" w:cs="Arial" w:eastAsia="Arial" w:hAnsi="Arial"/>
          <w:sz w:val="18"/>
          <w:szCs w:val="18"/>
          <w:vertAlign w:val="superscript"/>
        </w:rPr>
        <w:t xml:space="preserve">arterial</w:t>
      </w:r>
      <w:r>
        <w:rPr>
          <w:rFonts w:ascii="Arial" w:cs="Arial" w:eastAsia="Arial" w:hAnsi="Arial"/>
          <w:sz w:val="22"/>
          <w:szCs w:val="22"/>
        </w:rPr>
        <w:t xml:space="preserve">.</w:t>
      </w:r>
    </w:p>
    <w:p>
      <w:pPr>
        <w:pStyle w:val="Heading2"/>
        <w:spacing w:after="180" w:before="240"/>
      </w:pPr>
      <w:r>
        <w:rPr>
          <w:rFonts w:ascii="Arial" w:cs="Arial" w:eastAsia="Arial" w:hAnsi="Arial"/>
          <w:b/>
          <w:bCs/>
          <w:sz w:val="24"/>
          <w:szCs w:val="24"/>
        </w:rPr>
        <w:t xml:space="preserve">C. Drug Effects as Hamiltonian Perturbations</w:t>
      </w:r>
    </w:p>
    <w:p>
      <w:pPr>
        <w:spacing w:after="120" w:line="360"/>
      </w:pPr>
      <w:r>
        <w:rPr>
          <w:rFonts w:ascii="Arial" w:cs="Arial" w:eastAsia="Arial" w:hAnsi="Arial"/>
          <w:sz w:val="22"/>
          <w:szCs w:val="22"/>
        </w:rPr>
        <w:t xml:space="preserve">Each drug class was modeled as a perturbation to the Hamiltonian: δH = H</w:t>
      </w:r>
      <w:r>
        <w:rPr>
          <w:rFonts w:ascii="Arial" w:cs="Arial" w:eastAsia="Arial" w:hAnsi="Arial"/>
          <w:sz w:val="18"/>
          <w:szCs w:val="18"/>
          <w:vertAlign w:val="superscript"/>
        </w:rPr>
        <w:t xml:space="preserve">post</w:t>
      </w:r>
      <w:r>
        <w:rPr>
          <w:rFonts w:ascii="Arial" w:cs="Arial" w:eastAsia="Arial" w:hAnsi="Arial"/>
          <w:sz w:val="22"/>
          <w:szCs w:val="22"/>
        </w:rPr>
        <w:t xml:space="preserve"> − H</w:t>
      </w:r>
      <w:r>
        <w:rPr>
          <w:rFonts w:ascii="Arial" w:cs="Arial" w:eastAsia="Arial" w:hAnsi="Arial"/>
          <w:sz w:val="18"/>
          <w:szCs w:val="18"/>
          <w:vertAlign w:val="superscript"/>
        </w:rPr>
        <w:t xml:space="preserve">pre</w:t>
      </w:r>
      <w:r>
        <w:rPr>
          <w:rFonts w:ascii="Arial" w:cs="Arial" w:eastAsia="Arial" w:hAnsi="Arial"/>
          <w:sz w:val="22"/>
          <w:szCs w:val="22"/>
        </w:rPr>
        <w:t xml:space="preserve"> = δT + δV. We decomposed each drug’s effect into its kinetic and potential energy contributions, computing the T-fraction (δT/|δH|) and V-fraction (δV/|δH|) to classify the primary energy modification mechanism. For statistical comparison, drug-exposed patients (treated group) were compared against those without exposure (control group), with Welch’s t-tests for continuous metrics and significance threshold α = 0.05.</w:t>
      </w:r>
    </w:p>
    <w:p>
      <w:pPr>
        <w:spacing w:after="120" w:line="360"/>
      </w:pPr>
      <w:r>
        <w:rPr>
          <w:rFonts w:ascii="Arial" w:cs="Arial" w:eastAsia="Arial" w:hAnsi="Arial"/>
          <w:sz w:val="22"/>
          <w:szCs w:val="22"/>
        </w:rPr>
        <w:t xml:space="preserve">Based on the energy decomposition, we classified each drug into a perturbation category: (1) Potential energy modifiers (δV dominant): vasodilators (RAASi, CCB) that reduce arterial elastic energy; (2) Kinetic energy modifiers (δT dominant): inotropes (digoxin) that increase flow momentum; (3) Volume modifiers (δq constraint): diuretics (loop, MRA) that alter preload volumes; (4) Dissipation modifiers (δR): chronotropes (beta-blockers) that change rate-dependent losses; (5) Multi-mechanism: agents acting through two or more pathways (ARNI, SGLT2i).</w:t>
      </w:r>
    </w:p>
    <w:p>
      <w:pPr>
        <w:pStyle w:val="Heading2"/>
        <w:spacing w:after="180" w:before="240"/>
      </w:pPr>
      <w:r>
        <w:rPr>
          <w:rFonts w:ascii="Arial" w:cs="Arial" w:eastAsia="Arial" w:hAnsi="Arial"/>
          <w:b/>
          <w:bCs/>
          <w:sz w:val="24"/>
          <w:szCs w:val="24"/>
        </w:rPr>
        <w:t xml:space="preserve">D. Port-Hamiltonian PINN Architecture</w:t>
      </w:r>
    </w:p>
    <w:p>
      <w:pPr>
        <w:spacing w:after="120" w:line="360"/>
      </w:pPr>
      <w:r>
        <w:rPr>
          <w:rFonts w:ascii="Arial" w:cs="Arial" w:eastAsia="Arial" w:hAnsi="Arial"/>
          <w:sz w:val="22"/>
          <w:szCs w:val="22"/>
        </w:rPr>
        <w:t xml:space="preserve">We designed the pH-PINN v5 architecture to embed Hamiltonian structure directly into the neural network computation graph. The architecture consists of four learnable modules:</w:t>
      </w:r>
    </w:p>
    <w:p>
      <w:pPr>
        <w:spacing w:after="120" w:line="360"/>
      </w:pPr>
      <w:r>
        <w:rPr>
          <w:rFonts w:ascii="Arial" w:cs="Arial" w:eastAsia="Arial" w:hAnsi="Arial"/>
          <w:b/>
          <w:bCs/>
          <w:sz w:val="22"/>
          <w:szCs w:val="22"/>
        </w:rPr>
        <w:t xml:space="preserve">State Encoder: </w:t>
      </w:r>
      <w:r>
        <w:rPr>
          <w:rFonts w:ascii="Arial" w:cs="Arial" w:eastAsia="Arial" w:hAnsi="Arial"/>
          <w:sz w:val="22"/>
          <w:szCs w:val="22"/>
        </w:rPr>
        <w:t xml:space="preserve">An MLP (11 → 256 → 128 → 64) maps 11 echocardiographic inputs to canonical coordinates: generalized positions q = (V</w:t>
      </w:r>
      <w:r>
        <w:rPr>
          <w:rFonts w:ascii="Arial" w:cs="Arial" w:eastAsia="Arial" w:hAnsi="Arial"/>
          <w:sz w:val="18"/>
          <w:szCs w:val="18"/>
          <w:vertAlign w:val="superscript"/>
        </w:rPr>
        <w:t xml:space="preserve">LV</w:t>
      </w:r>
      <w:r>
        <w:rPr>
          <w:rFonts w:ascii="Arial" w:cs="Arial" w:eastAsia="Arial" w:hAnsi="Arial"/>
          <w:sz w:val="22"/>
          <w:szCs w:val="22"/>
        </w:rPr>
        <w:t xml:space="preserve">, V</w:t>
      </w:r>
      <w:r>
        <w:rPr>
          <w:rFonts w:ascii="Arial" w:cs="Arial" w:eastAsia="Arial" w:hAnsi="Arial"/>
          <w:sz w:val="18"/>
          <w:szCs w:val="18"/>
          <w:vertAlign w:val="superscript"/>
        </w:rPr>
        <w:t xml:space="preserve">LA</w:t>
      </w:r>
      <w:r>
        <w:rPr>
          <w:rFonts w:ascii="Arial" w:cs="Arial" w:eastAsia="Arial" w:hAnsi="Arial"/>
          <w:sz w:val="22"/>
          <w:szCs w:val="22"/>
        </w:rPr>
        <w:t xml:space="preserve">, V</w:t>
      </w:r>
      <w:r>
        <w:rPr>
          <w:rFonts w:ascii="Arial" w:cs="Arial" w:eastAsia="Arial" w:hAnsi="Arial"/>
          <w:sz w:val="18"/>
          <w:szCs w:val="18"/>
          <w:vertAlign w:val="superscript"/>
        </w:rPr>
        <w:t xml:space="preserve">art</w:t>
      </w:r>
      <w:r>
        <w:rPr>
          <w:rFonts w:ascii="Arial" w:cs="Arial" w:eastAsia="Arial" w:hAnsi="Arial"/>
          <w:sz w:val="22"/>
          <w:szCs w:val="22"/>
        </w:rPr>
        <w:t xml:space="preserve">) ∈ ℝ</w:t>
      </w:r>
      <w:r>
        <w:rPr>
          <w:rFonts w:ascii="Arial" w:cs="Arial" w:eastAsia="Arial" w:hAnsi="Arial"/>
          <w:sz w:val="18"/>
          <w:szCs w:val="18"/>
          <w:vertAlign w:val="superscript"/>
        </w:rPr>
        <w:t xml:space="preserve">3</w:t>
      </w:r>
      <w:r>
        <w:rPr>
          <w:rFonts w:ascii="Arial" w:cs="Arial" w:eastAsia="Arial" w:hAnsi="Arial"/>
          <w:sz w:val="22"/>
          <w:szCs w:val="22"/>
        </w:rPr>
        <w:t xml:space="preserve"> representing chamber/vessel volumes, generalized momenta p = (p</w:t>
      </w:r>
      <w:r>
        <w:rPr>
          <w:rFonts w:ascii="Arial" w:cs="Arial" w:eastAsia="Arial" w:hAnsi="Arial"/>
          <w:sz w:val="18"/>
          <w:szCs w:val="18"/>
          <w:vertAlign w:val="superscript"/>
        </w:rPr>
        <w:t xml:space="preserve">mv</w:t>
      </w:r>
      <w:r>
        <w:rPr>
          <w:rFonts w:ascii="Arial" w:cs="Arial" w:eastAsia="Arial" w:hAnsi="Arial"/>
          <w:sz w:val="22"/>
          <w:szCs w:val="22"/>
        </w:rPr>
        <w:t xml:space="preserve">, p</w:t>
      </w:r>
      <w:r>
        <w:rPr>
          <w:rFonts w:ascii="Arial" w:cs="Arial" w:eastAsia="Arial" w:hAnsi="Arial"/>
          <w:sz w:val="18"/>
          <w:szCs w:val="18"/>
          <w:vertAlign w:val="superscript"/>
        </w:rPr>
        <w:t xml:space="preserve">ao</w:t>
      </w:r>
      <w:r>
        <w:rPr>
          <w:rFonts w:ascii="Arial" w:cs="Arial" w:eastAsia="Arial" w:hAnsi="Arial"/>
          <w:sz w:val="22"/>
          <w:szCs w:val="22"/>
        </w:rPr>
        <w:t xml:space="preserve">) ∈ ℝ</w:t>
      </w:r>
      <w:r>
        <w:rPr>
          <w:rFonts w:ascii="Arial" w:cs="Arial" w:eastAsia="Arial" w:hAnsi="Arial"/>
          <w:sz w:val="18"/>
          <w:szCs w:val="18"/>
          <w:vertAlign w:val="superscript"/>
        </w:rPr>
        <w:t xml:space="preserve">2</w:t>
      </w:r>
      <w:r>
        <w:rPr>
          <w:rFonts w:ascii="Arial" w:cs="Arial" w:eastAsia="Arial" w:hAnsi="Arial"/>
          <w:sz w:val="22"/>
          <w:szCs w:val="22"/>
        </w:rPr>
        <w:t xml:space="preserve"> representing flow through mitral and aortic valves, and auxiliary parameters aux = (E</w:t>
      </w:r>
      <w:r>
        <w:rPr>
          <w:rFonts w:ascii="Arial" w:cs="Arial" w:eastAsia="Arial" w:hAnsi="Arial"/>
          <w:sz w:val="18"/>
          <w:szCs w:val="18"/>
          <w:vertAlign w:val="superscript"/>
        </w:rPr>
        <w:t xml:space="preserve">es</w:t>
      </w:r>
      <w:r>
        <w:rPr>
          <w:rFonts w:ascii="Arial" w:cs="Arial" w:eastAsia="Arial" w:hAnsi="Arial"/>
          <w:sz w:val="22"/>
          <w:szCs w:val="22"/>
        </w:rPr>
        <w:t xml:space="preserve">, E</w:t>
      </w:r>
      <w:r>
        <w:rPr>
          <w:rFonts w:ascii="Arial" w:cs="Arial" w:eastAsia="Arial" w:hAnsi="Arial"/>
          <w:sz w:val="18"/>
          <w:szCs w:val="18"/>
          <w:vertAlign w:val="superscript"/>
        </w:rPr>
        <w:t xml:space="preserve">ed</w:t>
      </w:r>
      <w:r>
        <w:rPr>
          <w:rFonts w:ascii="Arial" w:cs="Arial" w:eastAsia="Arial" w:hAnsi="Arial"/>
          <w:sz w:val="22"/>
          <w:szCs w:val="22"/>
        </w:rPr>
        <w:t xml:space="preserve">, τ, V</w:t>
      </w:r>
      <w:r>
        <w:rPr>
          <w:rFonts w:ascii="Arial" w:cs="Arial" w:eastAsia="Arial" w:hAnsi="Arial"/>
          <w:sz w:val="18"/>
          <w:szCs w:val="18"/>
          <w:vertAlign w:val="superscript"/>
        </w:rPr>
        <w:t xml:space="preserve">0</w:t>
      </w:r>
      <w:r>
        <w:rPr>
          <w:rFonts w:ascii="Arial" w:cs="Arial" w:eastAsia="Arial" w:hAnsi="Arial"/>
          <w:sz w:val="22"/>
          <w:szCs w:val="22"/>
        </w:rPr>
        <w:t xml:space="preserve">) for physiological constraints.</w:t>
      </w:r>
    </w:p>
    <w:p>
      <w:pPr>
        <w:spacing w:after="120" w:line="360"/>
      </w:pPr>
      <w:r>
        <w:rPr>
          <w:rFonts w:ascii="Arial" w:cs="Arial" w:eastAsia="Arial" w:hAnsi="Arial"/>
          <w:b/>
          <w:bCs/>
          <w:sz w:val="22"/>
          <w:szCs w:val="22"/>
        </w:rPr>
        <w:t xml:space="preserve">Hamiltonian Network: </w:t>
      </w:r>
      <w:r>
        <w:rPr>
          <w:rFonts w:ascii="Arial" w:cs="Arial" w:eastAsia="Arial" w:hAnsi="Arial"/>
          <w:sz w:val="22"/>
          <w:szCs w:val="22"/>
        </w:rPr>
        <w:t xml:space="preserve">Separate networks learn T(q, p) and V(q) to guarantee H = T + V decomposition. The kinetic energy network uses a q-dependent mass matrix M</w:t>
      </w:r>
      <w:r>
        <w:rPr>
          <w:rFonts w:ascii="Arial" w:cs="Arial" w:eastAsia="Arial" w:hAnsi="Arial"/>
          <w:sz w:val="18"/>
          <w:szCs w:val="18"/>
          <w:vertAlign w:val="superscript"/>
        </w:rPr>
        <w:t xml:space="preserve">−1</w:t>
      </w:r>
      <w:r>
        <w:rPr>
          <w:rFonts w:ascii="Arial" w:cs="Arial" w:eastAsia="Arial" w:hAnsi="Arial"/>
          <w:sz w:val="22"/>
          <w:szCs w:val="22"/>
        </w:rPr>
        <w:t xml:space="preserve">(q) parameterized via Cholesky factorization to ensure positive definiteness: T = ½ p</w:t>
      </w:r>
      <w:r>
        <w:rPr>
          <w:rFonts w:ascii="Arial" w:cs="Arial" w:eastAsia="Arial" w:hAnsi="Arial"/>
          <w:sz w:val="18"/>
          <w:szCs w:val="18"/>
          <w:vertAlign w:val="superscript"/>
        </w:rPr>
        <w:t xml:space="preserve">T</w:t>
      </w:r>
      <w:r>
        <w:rPr>
          <w:rFonts w:ascii="Arial" w:cs="Arial" w:eastAsia="Arial" w:hAnsi="Arial"/>
          <w:sz w:val="22"/>
          <w:szCs w:val="22"/>
        </w:rPr>
        <w:t xml:space="preserve"> M</w:t>
      </w:r>
      <w:r>
        <w:rPr>
          <w:rFonts w:ascii="Arial" w:cs="Arial" w:eastAsia="Arial" w:hAnsi="Arial"/>
          <w:sz w:val="18"/>
          <w:szCs w:val="18"/>
          <w:vertAlign w:val="superscript"/>
        </w:rPr>
        <w:t xml:space="preserve">−1</w:t>
      </w:r>
      <w:r>
        <w:rPr>
          <w:rFonts w:ascii="Arial" w:cs="Arial" w:eastAsia="Arial" w:hAnsi="Arial"/>
          <w:sz w:val="22"/>
          <w:szCs w:val="22"/>
        </w:rPr>
        <w:t xml:space="preserve">(q) p. The potential energy network uses softplus activation to guarantee V(q) ≥ 0.</w:t>
      </w:r>
    </w:p>
    <w:p>
      <w:pPr>
        <w:spacing w:after="120" w:line="360"/>
      </w:pPr>
      <w:r>
        <w:rPr>
          <w:rFonts w:ascii="Arial" w:cs="Arial" w:eastAsia="Arial" w:hAnsi="Arial"/>
          <w:b/>
          <w:bCs/>
          <w:sz w:val="22"/>
          <w:szCs w:val="22"/>
        </w:rPr>
        <w:t xml:space="preserve">Dissipation Network: </w:t>
      </w:r>
      <w:r>
        <w:rPr>
          <w:rFonts w:ascii="Arial" w:cs="Arial" w:eastAsia="Arial" w:hAnsi="Arial"/>
          <w:sz w:val="22"/>
          <w:szCs w:val="22"/>
        </w:rPr>
        <w:t xml:space="preserve">Learns a state-dependent dissipation matrix R(x) parameterized as R = LL</w:t>
      </w:r>
      <w:r>
        <w:rPr>
          <w:rFonts w:ascii="Arial" w:cs="Arial" w:eastAsia="Arial" w:hAnsi="Arial"/>
          <w:sz w:val="18"/>
          <w:szCs w:val="18"/>
          <w:vertAlign w:val="superscript"/>
        </w:rPr>
        <w:t xml:space="preserve">T</w:t>
      </w:r>
      <w:r>
        <w:rPr>
          <w:rFonts w:ascii="Arial" w:cs="Arial" w:eastAsia="Arial" w:hAnsi="Arial"/>
          <w:sz w:val="22"/>
          <w:szCs w:val="22"/>
        </w:rPr>
        <w:t xml:space="preserve"> via Cholesky decomposition, guaranteeing positive semidefiniteness. This captures systemic vascular resistance, valve resistance, and blood viscosity as energy dissipation channels.</w:t>
      </w:r>
    </w:p>
    <w:p>
      <w:pPr>
        <w:spacing w:after="120" w:line="360"/>
      </w:pPr>
      <w:r>
        <w:rPr>
          <w:rFonts w:ascii="Arial" w:cs="Arial" w:eastAsia="Arial" w:hAnsi="Arial"/>
          <w:b/>
          <w:bCs/>
          <w:sz w:val="22"/>
          <w:szCs w:val="22"/>
        </w:rPr>
        <w:t xml:space="preserve">Interconnection Structure: </w:t>
      </w:r>
      <w:r>
        <w:rPr>
          <w:rFonts w:ascii="Arial" w:cs="Arial" w:eastAsia="Arial" w:hAnsi="Arial"/>
          <w:sz w:val="22"/>
          <w:szCs w:val="22"/>
        </w:rPr>
        <w:t xml:space="preserve">A learnable antisymmetric matrix J = −J</w:t>
      </w:r>
      <w:r>
        <w:rPr>
          <w:rFonts w:ascii="Arial" w:cs="Arial" w:eastAsia="Arial" w:hAnsi="Arial"/>
          <w:sz w:val="18"/>
          <w:szCs w:val="18"/>
          <w:vertAlign w:val="superscript"/>
        </w:rPr>
        <w:t xml:space="preserve">T</w:t>
      </w:r>
      <w:r>
        <w:rPr>
          <w:rFonts w:ascii="Arial" w:cs="Arial" w:eastAsia="Arial" w:hAnsi="Arial"/>
          <w:sz w:val="22"/>
          <w:szCs w:val="22"/>
        </w:rPr>
        <w:t xml:space="preserve"> encodes the topology of energy exchange between cardiac chambers, constrained to respect the anatomical connectivity of the cardiovascular system (left ventricle ↔ aorta, left atrium ↔ left ventricle).</w:t>
      </w:r>
    </w:p>
    <w:p>
      <w:pPr>
        <w:spacing w:after="120" w:line="360"/>
      </w:pPr>
      <w:r>
        <w:rPr>
          <w:rFonts w:ascii="Arial" w:cs="Arial" w:eastAsia="Arial" w:hAnsi="Arial"/>
          <w:sz w:val="22"/>
          <w:szCs w:val="22"/>
        </w:rPr>
        <w:t xml:space="preserve">The forward pass computes: (1) encode echo → (q, p, aux); (2) compute H = T(q,p) + V(q); (3) derive dynamics via autograd: dq/dt = ∂H/∂p, dp/dt = −∂H/∂q; (4) apply port-Hamiltonian structure: ẋ = [J − R]∇H + gu; (5) decode to clinical outputs. The total parameter count is 57,798.</w:t>
      </w:r>
    </w:p>
    <w:p>
      <w:pPr>
        <w:pStyle w:val="Heading2"/>
        <w:spacing w:after="180" w:before="240"/>
      </w:pPr>
      <w:r>
        <w:rPr>
          <w:rFonts w:ascii="Arial" w:cs="Arial" w:eastAsia="Arial" w:hAnsi="Arial"/>
          <w:b/>
          <w:bCs/>
          <w:sz w:val="24"/>
          <w:szCs w:val="24"/>
        </w:rPr>
        <w:t xml:space="preserve">E. Training Objective</w:t>
      </w:r>
    </w:p>
    <w:p>
      <w:pPr>
        <w:spacing w:after="120" w:line="360"/>
      </w:pPr>
      <w:r>
        <w:rPr>
          <w:rFonts w:ascii="Arial" w:cs="Arial" w:eastAsia="Arial" w:hAnsi="Arial"/>
          <w:sz w:val="22"/>
          <w:szCs w:val="22"/>
        </w:rPr>
        <w:t xml:space="preserve">The multi-objective loss function combines three components: L = L</w:t>
      </w:r>
      <w:r>
        <w:rPr>
          <w:rFonts w:ascii="Arial" w:cs="Arial" w:eastAsia="Arial" w:hAnsi="Arial"/>
          <w:sz w:val="18"/>
          <w:szCs w:val="18"/>
          <w:vertAlign w:val="superscript"/>
        </w:rPr>
        <w:t xml:space="preserve">recon</w:t>
      </w:r>
      <w:r>
        <w:rPr>
          <w:rFonts w:ascii="Arial" w:cs="Arial" w:eastAsia="Arial" w:hAnsi="Arial"/>
          <w:sz w:val="22"/>
          <w:szCs w:val="22"/>
        </w:rPr>
        <w:t xml:space="preserve"> + λ</w:t>
      </w:r>
      <w:r>
        <w:rPr>
          <w:rFonts w:ascii="Arial" w:cs="Arial" w:eastAsia="Arial" w:hAnsi="Arial"/>
          <w:sz w:val="18"/>
          <w:szCs w:val="18"/>
          <w:vertAlign w:val="superscript"/>
        </w:rPr>
        <w:t xml:space="preserve">H</w:t>
      </w:r>
      <w:r>
        <w:rPr>
          <w:rFonts w:ascii="Arial" w:cs="Arial" w:eastAsia="Arial" w:hAnsi="Arial"/>
          <w:sz w:val="22"/>
          <w:szCs w:val="22"/>
        </w:rPr>
        <w:t xml:space="preserve"> × L</w:t>
      </w:r>
      <w:r>
        <w:rPr>
          <w:rFonts w:ascii="Arial" w:cs="Arial" w:eastAsia="Arial" w:hAnsi="Arial"/>
          <w:sz w:val="18"/>
          <w:szCs w:val="18"/>
          <w:vertAlign w:val="superscript"/>
        </w:rPr>
        <w:t xml:space="preserve">energy</w:t>
      </w:r>
      <w:r>
        <w:rPr>
          <w:rFonts w:ascii="Arial" w:cs="Arial" w:eastAsia="Arial" w:hAnsi="Arial"/>
          <w:sz w:val="22"/>
          <w:szCs w:val="22"/>
        </w:rPr>
        <w:t xml:space="preserve"> + λ</w:t>
      </w:r>
      <w:r>
        <w:rPr>
          <w:rFonts w:ascii="Arial" w:cs="Arial" w:eastAsia="Arial" w:hAnsi="Arial"/>
          <w:sz w:val="18"/>
          <w:szCs w:val="18"/>
          <w:vertAlign w:val="superscript"/>
        </w:rPr>
        <w:t xml:space="preserve">phys</w:t>
      </w:r>
      <w:r>
        <w:rPr>
          <w:rFonts w:ascii="Arial" w:cs="Arial" w:eastAsia="Arial" w:hAnsi="Arial"/>
          <w:sz w:val="22"/>
          <w:szCs w:val="22"/>
        </w:rPr>
        <w:t xml:space="preserve"> × L</w:t>
      </w:r>
      <w:r>
        <w:rPr>
          <w:rFonts w:ascii="Arial" w:cs="Arial" w:eastAsia="Arial" w:hAnsi="Arial"/>
          <w:sz w:val="18"/>
          <w:szCs w:val="18"/>
          <w:vertAlign w:val="superscript"/>
        </w:rPr>
        <w:t xml:space="preserve">physics</w:t>
      </w:r>
      <w:r>
        <w:rPr>
          <w:rFonts w:ascii="Arial" w:cs="Arial" w:eastAsia="Arial" w:hAnsi="Arial"/>
          <w:sz w:val="22"/>
          <w:szCs w:val="22"/>
        </w:rPr>
        <w:t xml:space="preserve">. The reconstruction loss L</w:t>
      </w:r>
      <w:r>
        <w:rPr>
          <w:rFonts w:ascii="Arial" w:cs="Arial" w:eastAsia="Arial" w:hAnsi="Arial"/>
          <w:sz w:val="18"/>
          <w:szCs w:val="18"/>
          <w:vertAlign w:val="superscript"/>
        </w:rPr>
        <w:t xml:space="preserve">recon</w:t>
      </w:r>
      <w:r>
        <w:rPr>
          <w:rFonts w:ascii="Arial" w:cs="Arial" w:eastAsia="Arial" w:hAnsi="Arial"/>
          <w:sz w:val="22"/>
          <w:szCs w:val="22"/>
        </w:rPr>
        <w:t xml:space="preserve"> (MSE) ensures clinical output accuracy. The energy loss L</w:t>
      </w:r>
      <w:r>
        <w:rPr>
          <w:rFonts w:ascii="Arial" w:cs="Arial" w:eastAsia="Arial" w:hAnsi="Arial"/>
          <w:sz w:val="18"/>
          <w:szCs w:val="18"/>
          <w:vertAlign w:val="superscript"/>
        </w:rPr>
        <w:t xml:space="preserve">energy</w:t>
      </w:r>
      <w:r>
        <w:rPr>
          <w:rFonts w:ascii="Arial" w:cs="Arial" w:eastAsia="Arial" w:hAnsi="Arial"/>
          <w:sz w:val="22"/>
          <w:szCs w:val="22"/>
        </w:rPr>
        <w:t xml:space="preserve"> enforces H = T + V partition consistency, energy non-negativity, and positive-semidefinite R. The physics loss L</w:t>
      </w:r>
      <w:r>
        <w:rPr>
          <w:rFonts w:ascii="Arial" w:cs="Arial" w:eastAsia="Arial" w:hAnsi="Arial"/>
          <w:sz w:val="18"/>
          <w:szCs w:val="18"/>
          <w:vertAlign w:val="superscript"/>
        </w:rPr>
        <w:t xml:space="preserve">physics</w:t>
      </w:r>
      <w:r>
        <w:rPr>
          <w:rFonts w:ascii="Arial" w:cs="Arial" w:eastAsia="Arial" w:hAnsi="Arial"/>
          <w:sz w:val="22"/>
          <w:szCs w:val="22"/>
        </w:rPr>
        <w:t xml:space="preserve"> enforces physiological bounds: coupling ∈ [0.6, 2.5] and efficiency ∈ [0, 1]. Training uses AdamW optimizer with cosine annealing and warm restarts.</w:t>
      </w:r>
    </w:p>
    <w:p>
      <w:pPr>
        <w:pStyle w:val="Heading2"/>
        <w:spacing w:after="180" w:before="240"/>
      </w:pPr>
      <w:r>
        <w:rPr>
          <w:rFonts w:ascii="Arial" w:cs="Arial" w:eastAsia="Arial" w:hAnsi="Arial"/>
          <w:b/>
          <w:bCs/>
          <w:sz w:val="24"/>
          <w:szCs w:val="24"/>
        </w:rPr>
        <w:t xml:space="preserve">F. Drug Perturbation Simulation</w:t>
      </w:r>
    </w:p>
    <w:p>
      <w:pPr>
        <w:spacing w:after="120" w:line="360"/>
      </w:pPr>
      <w:r>
        <w:rPr>
          <w:rFonts w:ascii="Arial" w:cs="Arial" w:eastAsia="Arial" w:hAnsi="Arial"/>
          <w:sz w:val="22"/>
          <w:szCs w:val="22"/>
        </w:rPr>
        <w:t xml:space="preserve">We designed a DrugPerturbationSimulator that models each drug class through three perturbation channels: δq (volume shift), δp (momentum shift), and δR (dissipation scaling). Perturbation parameters were calibrated from the observed ΔH, ΔT, ΔV values in the treatment response dataset. The simulator computes H</w:t>
      </w:r>
      <w:r>
        <w:rPr>
          <w:rFonts w:ascii="Arial" w:cs="Arial" w:eastAsia="Arial" w:hAnsi="Arial"/>
          <w:sz w:val="18"/>
          <w:szCs w:val="18"/>
          <w:vertAlign w:val="superscript"/>
        </w:rPr>
        <w:t xml:space="preserve">post</w:t>
      </w:r>
      <w:r>
        <w:rPr>
          <w:rFonts w:ascii="Arial" w:cs="Arial" w:eastAsia="Arial" w:hAnsi="Arial"/>
          <w:sz w:val="22"/>
          <w:szCs w:val="22"/>
        </w:rPr>
        <w:t xml:space="preserve"> = H(q + δq, p + δp) with modified dissipation R′ = α</w:t>
      </w:r>
      <w:r>
        <w:rPr>
          <w:rFonts w:ascii="Arial" w:cs="Arial" w:eastAsia="Arial" w:hAnsi="Arial"/>
          <w:sz w:val="18"/>
          <w:szCs w:val="18"/>
          <w:vertAlign w:val="superscript"/>
        </w:rPr>
        <w:t xml:space="preserve">R</w:t>
      </w:r>
      <w:r>
        <w:rPr>
          <w:rFonts w:ascii="Arial" w:cs="Arial" w:eastAsia="Arial" w:hAnsi="Arial"/>
          <w:sz w:val="22"/>
          <w:szCs w:val="22"/>
        </w:rPr>
        <w:t xml:space="preserve"> × R, enabling counterfactual energy trajectory simulation under hypothetical drug exposures.</w:t>
      </w:r>
    </w:p>
    <w:p>
      <w:r>
        <w:br w:type="page"/>
      </w:r>
    </w:p>
    <w:p>
      <w:pPr>
        <w:pStyle w:val="Heading1"/>
        <w:spacing w:after="180" w:before="240"/>
      </w:pPr>
      <w:r>
        <w:rPr>
          <w:rFonts w:ascii="Arial" w:cs="Arial" w:eastAsia="Arial" w:hAnsi="Arial"/>
          <w:b/>
          <w:bCs/>
          <w:sz w:val="28"/>
          <w:szCs w:val="28"/>
        </w:rPr>
        <w:t xml:space="preserve">III. Results</w:t>
      </w:r>
    </w:p>
    <w:p>
      <w:pPr>
        <w:pStyle w:val="Heading2"/>
        <w:spacing w:after="180" w:before="240"/>
      </w:pPr>
      <w:r>
        <w:rPr>
          <w:rFonts w:ascii="Arial" w:cs="Arial" w:eastAsia="Arial" w:hAnsi="Arial"/>
          <w:b/>
          <w:bCs/>
          <w:sz w:val="24"/>
          <w:szCs w:val="24"/>
        </w:rPr>
        <w:t xml:space="preserve">A. Energy Landscape by Heart Failure Phenotype</w:t>
      </w:r>
    </w:p>
    <w:p>
      <w:pPr>
        <w:spacing w:after="120" w:line="360"/>
      </w:pPr>
      <w:r>
        <w:rPr>
          <w:rFonts w:ascii="Arial" w:cs="Arial" w:eastAsia="Arial" w:hAnsi="Arial"/>
          <w:sz w:val="22"/>
          <w:szCs w:val="22"/>
        </w:rPr>
        <w:t xml:space="preserve">The cardiac energy landscape revealed striking differences across HF phenotypes (Table I). HFrEF patients exhibited a total Hamiltonian of 50,142 J-equivalents with markedly depressed mechanical efficiency (η = 0.479 ± 0.19) and sub-unity VA coupling (0.827 ± 0.45), reflecting the fundamental energy deficit of systolic dysfunction. In contrast, HFpEF patients showed lower total energy (11,875 J-eq) but preserved efficiency (η = 0.841 ± 0.14) and supra-unity coupling (2.441 ± 1.32), consistent with a stiff-ventricle phenotype where elastic storage dominates over kinetic throughput.</w:t>
      </w:r>
    </w:p>
    <w:p>
      <w:pPr>
        <w:spacing w:after="120" w:line="360"/>
      </w:pPr>
      <w:r>
        <w:rPr>
          <w:rFonts w:ascii="Arial" w:cs="Arial" w:eastAsia="Arial" w:hAnsi="Arial"/>
          <w:sz w:val="22"/>
          <w:szCs w:val="22"/>
        </w:rPr>
        <w:t xml:space="preserve">A key finding was the kinetic-to-potential energy ratio (T/V). HFrEF exhibited T/V = 0.00193, indicating overwhelming dominance of potential energy storage over productive kinetic output—the dilated ventricle stores energy elastically but fails to convert it efficiently into blood flow. HFpEF showed T/V = 0.0117 (6× higher), reflecting relatively better kinetic conversion despite higher arterial stiffness. This T/V ratio provides a Hamiltonian interpretation of the fundamental pathophysiological distinction: HFrEF is an energy conversion failure, while HFpEF is an energy storage excess.</w:t>
      </w:r>
    </w:p>
    <w:p>
      <w:pPr>
        <w:spacing w:before="200"/>
        <w:jc w:val="center"/>
      </w:pPr>
      <w:r>
        <w:rPr>
          <w:rFonts w:ascii="Arial" w:cs="Arial" w:eastAsia="Arial" w:hAnsi="Arial"/>
          <w:b/>
          <w:bCs/>
          <w:sz w:val="18"/>
          <w:szCs w:val="18"/>
        </w:rPr>
        <w:t xml:space="preserve">TABLE I</w:t>
      </w:r>
    </w:p>
    <w:p>
      <w:pPr>
        <w:spacing w:after="120"/>
        <w:jc w:val="center"/>
      </w:pPr>
      <w:r>
        <w:rPr>
          <w:rFonts w:ascii="Arial" w:cs="Arial" w:eastAsia="Arial" w:hAnsi="Arial"/>
          <w:i/>
          <w:iCs/>
          <w:sz w:val="18"/>
          <w:szCs w:val="18"/>
        </w:rPr>
        <w:t xml:space="preserve">Cardiac Energy Metrics by Heart Failure Phenotype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50"/>
        <w:gridCol w:w="1400"/>
        <w:gridCol w:w="1400"/>
        <w:gridCol w:w="1300"/>
        <w:gridCol w:w="1250"/>
        <w:gridCol w:w="1360"/>
      </w:tblGrid>
      <w:tr>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center"/>
            </w:pPr>
            <w:r>
              <w:rPr>
                <w:rFonts w:ascii="Arial" w:cs="Arial" w:eastAsia="Arial" w:hAnsi="Arial"/>
                <w:b/>
                <w:bCs/>
                <w:sz w:val="18"/>
                <w:szCs w:val="18"/>
              </w:rPr>
              <w:t xml:space="preserve">Metric</w:t>
            </w:r>
          </w:p>
        </w:tc>
        <w:tc>
          <w:tcPr>
            <w:tcW w:type="dxa" w:w="125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center"/>
            </w:pPr>
            <w:r>
              <w:rPr>
                <w:rFonts w:ascii="Arial" w:cs="Arial" w:eastAsia="Arial" w:hAnsi="Arial"/>
                <w:b/>
                <w:bCs/>
                <w:sz w:val="18"/>
                <w:szCs w:val="18"/>
              </w:rPr>
              <w:t xml:space="preserve">HFrEF
(n=469)</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center"/>
            </w:pPr>
            <w:r>
              <w:rPr>
                <w:rFonts w:ascii="Arial" w:cs="Arial" w:eastAsia="Arial" w:hAnsi="Arial"/>
                <w:b/>
                <w:bCs/>
                <w:sz w:val="18"/>
                <w:szCs w:val="18"/>
              </w:rPr>
              <w:t xml:space="preserve">HFmrEF
(n=472)</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center"/>
            </w:pPr>
            <w:r>
              <w:rPr>
                <w:rFonts w:ascii="Arial" w:cs="Arial" w:eastAsia="Arial" w:hAnsi="Arial"/>
                <w:b/>
                <w:bCs/>
                <w:sz w:val="18"/>
                <w:szCs w:val="18"/>
              </w:rPr>
              <w:t xml:space="preserve">HFpEF
(n=4910)</w:t>
            </w:r>
          </w:p>
        </w:tc>
        <w:tc>
          <w:tcPr>
            <w:tcW w:type="dxa" w:w="13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center"/>
            </w:pPr>
            <w:r>
              <w:rPr>
                <w:rFonts w:ascii="Arial" w:cs="Arial" w:eastAsia="Arial" w:hAnsi="Arial"/>
                <w:b/>
                <w:bCs/>
                <w:sz w:val="18"/>
                <w:szCs w:val="18"/>
              </w:rPr>
              <w:t xml:space="preserve">All
(n=5851)</w:t>
            </w:r>
          </w:p>
        </w:tc>
        <w:tc>
          <w:tcPr>
            <w:tcW w:type="dxa" w:w="125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center"/>
            </w:pPr>
            <w:r>
              <w:rPr>
                <w:rFonts w:ascii="Arial" w:cs="Arial" w:eastAsia="Arial" w:hAnsi="Arial"/>
                <w:b/>
                <w:bCs/>
                <w:sz w:val="18"/>
                <w:szCs w:val="18"/>
              </w:rPr>
              <w:t xml:space="preserve">Unit</w:t>
            </w:r>
          </w:p>
        </w:tc>
        <w:tc>
          <w:tcPr>
            <w:tcW w:type="dxa" w:w="1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center"/>
            </w:pPr>
            <w:r>
              <w:rPr>
                <w:rFonts w:ascii="Arial" w:cs="Arial" w:eastAsia="Arial" w:hAnsi="Arial"/>
                <w:b/>
                <w:bCs/>
                <w:sz w:val="18"/>
                <w:szCs w:val="18"/>
              </w:rPr>
              <w:t xml:space="preserve">Interpretation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SW</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0.920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0.737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0.444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0.506</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J</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Useful work</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PVA</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15,432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8,602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4,172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5,432</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mmHg·mL</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Total energy</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η (SW/PVA)</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0.479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0.690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0.841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0.800</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Efficiency</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VA coupling</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0.827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1.387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2.441</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2.227</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Ees/Ea</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H (total)</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50,142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29,127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11,875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16,334</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J-eq</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Hamiltonian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T (kinetic)</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96.7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106.8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137.4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131.6</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J-eq</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Blood flow KE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V (potential)</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50,045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29,020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11,737</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16,202</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J-eq</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Elastic PE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T/V ratio</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0.00193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0.00368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0.01170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0.00812</w:t>
            </w:r>
          </w:p>
        </w:tc>
        <w:tc>
          <w:tcPr>
            <w:tcW w:type="dxa" w:w="12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Energy partition</w:t>
            </w:r>
          </w:p>
        </w:tc>
      </w:tr>
    </w:tbl>
    <w:p>
      <w:pPr>
        <w:spacing w:after="80"/>
      </w:pPr>
      <w:r>
        <w:rPr>
          <w:rFonts w:ascii="Arial" w:cs="Arial" w:eastAsia="Arial" w:hAnsi="Arial"/>
          <w:sz w:val="22"/>
          <w:szCs w:val="22"/>
        </w:rPr>
        <w:t xml:space="preserve"/>
      </w:r>
    </w:p>
    <w:p>
      <w:pPr>
        <w:pStyle w:val="Heading2"/>
        <w:spacing w:after="180" w:before="240"/>
      </w:pPr>
      <w:r>
        <w:rPr>
          <w:rFonts w:ascii="Arial" w:cs="Arial" w:eastAsia="Arial" w:hAnsi="Arial"/>
          <w:b/>
          <w:bCs/>
          <w:sz w:val="24"/>
          <w:szCs w:val="24"/>
        </w:rPr>
        <w:t xml:space="preserve">B. Drug-Specific Energy Modification Signatures</w:t>
      </w:r>
    </w:p>
    <w:p>
      <w:pPr>
        <w:spacing w:after="120" w:line="360"/>
      </w:pPr>
      <w:r>
        <w:rPr>
          <w:rFonts w:ascii="Arial" w:cs="Arial" w:eastAsia="Arial" w:hAnsi="Arial"/>
          <w:sz w:val="22"/>
          <w:szCs w:val="22"/>
        </w:rPr>
        <w:t xml:space="preserve">Analysis of nine drug classes as Hamiltonian perturbations revealed distinct energy signatures (Table II). ARNI produced the strongest total energy reduction (δH = −10,007, p = 0.001), operating through dual modification of potential energy (V-fraction = 0.998) and dissipation. This δH magnitude was 2× larger than digoxin (δH = −4,865, p = 0.30) and 8× larger than RAASi (δH = −1,257, p = 0.09), providing a quantitative energy-based explanation for ARNI’s superior clinical efficacy in the PARADIGM-HF trial.</w:t>
      </w:r>
    </w:p>
    <w:p>
      <w:pPr>
        <w:spacing w:after="120" w:line="360"/>
      </w:pPr>
      <w:r>
        <w:rPr>
          <w:rFonts w:ascii="Arial" w:cs="Arial" w:eastAsia="Arial" w:hAnsi="Arial"/>
          <w:sz w:val="22"/>
          <w:szCs w:val="22"/>
        </w:rPr>
        <w:t xml:space="preserve">Digoxin was the only drug class that increased kinetic energy (δT = +63.1 J-eq, T-fraction = +0.013), reflecting its inotropic mechanism of increasing contractile force and ejection velocity. All other drug classes showed negative or near-zero δT values, confirming that most HF therapies operate primarily through potential energy or volume modification rather than kinetic augmentation. This provides a mechanistic energy-based distinction between inotropic and non-inotropic therapies that is not captured by conventional LVEF-based analysis.</w:t>
      </w:r>
    </w:p>
    <w:p>
      <w:pPr>
        <w:spacing w:after="120" w:line="360"/>
      </w:pPr>
      <w:r>
        <w:rPr>
          <w:rFonts w:ascii="Arial" w:cs="Arial" w:eastAsia="Arial" w:hAnsi="Arial"/>
          <w:sz w:val="22"/>
          <w:szCs w:val="22"/>
        </w:rPr>
        <w:t xml:space="preserve">SGLT2 inhibitors exhibited a unique energy profile: the highest T-fraction magnitude among non-inotropes (T-fraction = −0.079) with δT = −26.96, classifying them as flow modifiers rather than pure volume reducers. This finding aligns with emerging evidence that SGLT2i effects extend beyond diuresis to include metabolic and hemodynamic remodeling. The coupling improvement (+0.274) was the second highest after digoxin (+0.492), suggesting that SGLT2i favorably redistributes energy between kinetic and potential compartments.</w:t>
      </w:r>
    </w:p>
    <w:p>
      <w:pPr>
        <w:spacing w:before="200"/>
        <w:jc w:val="center"/>
      </w:pPr>
      <w:r>
        <w:rPr>
          <w:rFonts w:ascii="Arial" w:cs="Arial" w:eastAsia="Arial" w:hAnsi="Arial"/>
          <w:b/>
          <w:bCs/>
          <w:sz w:val="18"/>
          <w:szCs w:val="18"/>
        </w:rPr>
        <w:t xml:space="preserve">TABLE II</w:t>
      </w:r>
    </w:p>
    <w:p>
      <w:pPr>
        <w:spacing w:after="120"/>
        <w:jc w:val="center"/>
      </w:pPr>
      <w:r>
        <w:rPr>
          <w:rFonts w:ascii="Arial" w:cs="Arial" w:eastAsia="Arial" w:hAnsi="Arial"/>
          <w:i/>
          <w:iCs/>
          <w:sz w:val="18"/>
          <w:szCs w:val="18"/>
        </w:rPr>
        <w:t xml:space="preserve">Drug Classes as Hamiltonian Perturbations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200"/>
        <w:gridCol w:w="1200"/>
        <w:gridCol w:w="1200"/>
        <w:gridCol w:w="1200"/>
        <w:gridCol w:w="1000"/>
        <w:gridCol w:w="1360"/>
      </w:tblGrid>
      <w:tr>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center"/>
            </w:pPr>
            <w:r>
              <w:rPr>
                <w:rFonts w:ascii="Arial" w:cs="Arial" w:eastAsia="Arial" w:hAnsi="Arial"/>
                <w:b/>
                <w:bCs/>
                <w:sz w:val="18"/>
                <w:szCs w:val="18"/>
              </w:rPr>
              <w:t xml:space="preserve">Drug</w:t>
            </w:r>
          </w:p>
        </w:tc>
        <w:tc>
          <w:tcPr>
            <w:tcW w:type="dxa" w:w="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center"/>
            </w:pPr>
            <w:r>
              <w:rPr>
                <w:rFonts w:ascii="Arial" w:cs="Arial" w:eastAsia="Arial" w:hAnsi="Arial"/>
                <w:b/>
                <w:bCs/>
                <w:sz w:val="18"/>
                <w:szCs w:val="18"/>
              </w:rPr>
              <w:t xml:space="preserve">n</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center"/>
            </w:pPr>
            <w:r>
              <w:rPr>
                <w:rFonts w:ascii="Arial" w:cs="Arial" w:eastAsia="Arial" w:hAnsi="Arial"/>
                <w:b/>
                <w:bCs/>
                <w:sz w:val="18"/>
                <w:szCs w:val="18"/>
              </w:rPr>
              <w:t xml:space="preserve">δH</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center"/>
            </w:pPr>
            <w:r>
              <w:rPr>
                <w:rFonts w:ascii="Arial" w:cs="Arial" w:eastAsia="Arial" w:hAnsi="Arial"/>
                <w:b/>
                <w:bCs/>
                <w:sz w:val="18"/>
                <w:szCs w:val="18"/>
              </w:rPr>
              <w:t xml:space="preserve">p-value</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center"/>
            </w:pPr>
            <w:r>
              <w:rPr>
                <w:rFonts w:ascii="Arial" w:cs="Arial" w:eastAsia="Arial" w:hAnsi="Arial"/>
                <w:b/>
                <w:bCs/>
                <w:sz w:val="18"/>
                <w:szCs w:val="18"/>
              </w:rPr>
              <w:t xml:space="preserve">T-fraction</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center"/>
            </w:pPr>
            <w:r>
              <w:rPr>
                <w:rFonts w:ascii="Arial" w:cs="Arial" w:eastAsia="Arial" w:hAnsi="Arial"/>
                <w:b/>
                <w:bCs/>
                <w:sz w:val="18"/>
                <w:szCs w:val="18"/>
              </w:rPr>
              <w:t xml:space="preserve">V-fraction</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center"/>
            </w:pPr>
            <w:r>
              <w:rPr>
                <w:rFonts w:ascii="Arial" w:cs="Arial" w:eastAsia="Arial" w:hAnsi="Arial"/>
                <w:b/>
                <w:bCs/>
                <w:sz w:val="18"/>
                <w:szCs w:val="18"/>
              </w:rPr>
              <w:t xml:space="preserve">Δη</w:t>
            </w:r>
          </w:p>
        </w:tc>
        <w:tc>
          <w:tcPr>
            <w:tcW w:type="dxa" w:w="1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jc w:val="center"/>
            </w:pPr>
            <w:r>
              <w:rPr>
                <w:rFonts w:ascii="Arial" w:cs="Arial" w:eastAsia="Arial" w:hAnsi="Arial"/>
                <w:b/>
                <w:bCs/>
                <w:sz w:val="18"/>
                <w:szCs w:val="18"/>
              </w:rPr>
              <w:t xml:space="preserve">Classification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ARNI</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53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−10,007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0.001***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−0.002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0.998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+0.049</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δV + δR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Digoxin</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22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−4,865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0.301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+0.013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0.987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+0.061</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δT (inotrope)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CCB</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1,039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+1,977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0.009**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−0.0004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1.000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−0.005</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δV (vasodil.)</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RAASi</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1,106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−1,257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0.087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−0.013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0.987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+0.002</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δV</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Beta-Blocker</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1,942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−1,169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0.056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−0.022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0.978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−0.002</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δR (chrono.)</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SGLT2i</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27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−804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0.850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−0.079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0.921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+0.002</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δq + δR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MRA</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433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+680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0.536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0.988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−0.004</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δq</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Hydralazine</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639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+138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0.881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−0.021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0.979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−0.001</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δV</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Loop Diuretic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1,876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−107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0.862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−0.022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0.978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−0.006</w:t>
            </w:r>
          </w:p>
        </w:tc>
        <w:tc>
          <w:tcPr>
            <w:tcW w:type="dxa" w:w="1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18"/>
                <w:szCs w:val="18"/>
              </w:rPr>
              <w:t xml:space="preserve">δq</w:t>
            </w:r>
          </w:p>
        </w:tc>
      </w:tr>
    </w:tbl>
    <w:p>
      <w:pPr>
        <w:spacing w:after="200"/>
      </w:pPr>
      <w:r>
        <w:rPr>
          <w:rFonts w:ascii="Arial" w:cs="Arial" w:eastAsia="Arial" w:hAnsi="Arial"/>
          <w:i/>
          <w:iCs/>
          <w:sz w:val="16"/>
          <w:szCs w:val="16"/>
        </w:rPr>
        <w:t xml:space="preserve">*** p &lt; 0.001, ** p &lt; 0.01. δH in J-equivalents. T/V-fractions show decomposition of δH into kinetic vs potential.</w:t>
      </w:r>
    </w:p>
    <w:p>
      <w:pPr>
        <w:pStyle w:val="Heading2"/>
        <w:spacing w:after="180" w:before="240"/>
      </w:pPr>
      <w:r>
        <w:rPr>
          <w:rFonts w:ascii="Arial" w:cs="Arial" w:eastAsia="Arial" w:hAnsi="Arial"/>
          <w:b/>
          <w:bCs/>
          <w:sz w:val="24"/>
          <w:szCs w:val="24"/>
        </w:rPr>
        <w:t xml:space="preserve">C. Hamiltonian Interpretation of Drug Mechanisms</w:t>
      </w:r>
    </w:p>
    <w:p>
      <w:pPr>
        <w:spacing w:after="120" w:line="360"/>
      </w:pPr>
      <w:r>
        <w:rPr>
          <w:rFonts w:ascii="Arial" w:cs="Arial" w:eastAsia="Arial" w:hAnsi="Arial"/>
          <w:sz w:val="22"/>
          <w:szCs w:val="22"/>
        </w:rPr>
        <w:t xml:space="preserve">The energy-space analysis enabled a principled classification of drug mechanisms based on which component of the Hamiltonian they primarily modify (Fig. 1D–H). We identified five distinct perturbation modes:</w:t>
      </w:r>
    </w:p>
    <w:p>
      <w:pPr>
        <w:spacing w:after="120" w:line="360"/>
      </w:pPr>
      <w:r>
        <w:rPr>
          <w:rFonts w:ascii="Arial" w:cs="Arial" w:eastAsia="Arial" w:hAnsi="Arial"/>
          <w:b/>
          <w:bCs/>
          <w:sz w:val="22"/>
          <w:szCs w:val="22"/>
        </w:rPr>
        <w:t xml:space="preserve">Potential Energy Modifiers (δV dominant): </w:t>
      </w:r>
      <w:r>
        <w:rPr>
          <w:rFonts w:ascii="Arial" w:cs="Arial" w:eastAsia="Arial" w:hAnsi="Arial"/>
          <w:sz w:val="22"/>
          <w:szCs w:val="22"/>
        </w:rPr>
        <w:t xml:space="preserve">RAASi, CCB, and hydralazine primarily reduce arterial elastic energy through afterload reduction, with V-fractions exceeding 0.97. CCB was the only drug to significantly increase total Hamiltonian (δH = +1,977, p = 0.009), reflecting increased elastic storage without proportional efficiency gain—a finding that may partly explain the neutral outcomes of CCBs in HF trials.</w:t>
      </w:r>
    </w:p>
    <w:p>
      <w:pPr>
        <w:spacing w:after="120" w:line="360"/>
      </w:pPr>
      <w:r>
        <w:rPr>
          <w:rFonts w:ascii="Arial" w:cs="Arial" w:eastAsia="Arial" w:hAnsi="Arial"/>
          <w:b/>
          <w:bCs/>
          <w:sz w:val="22"/>
          <w:szCs w:val="22"/>
        </w:rPr>
        <w:t xml:space="preserve">Kinetic Energy Modifier (δT dominant): </w:t>
      </w:r>
      <w:r>
        <w:rPr>
          <w:rFonts w:ascii="Arial" w:cs="Arial" w:eastAsia="Arial" w:hAnsi="Arial"/>
          <w:sz w:val="22"/>
          <w:szCs w:val="22"/>
        </w:rPr>
        <w:t xml:space="preserve">Digoxin was the sole representative, with T-fraction = +0.013 and the unique positive δT. Its SW perturbation of +0.223 (22.3% improvement) was the largest across all drug classes, consistent with its mechanism of enhancing myocardial contractility through Na</w:t>
      </w:r>
      <w:r>
        <w:rPr>
          <w:rFonts w:ascii="Arial" w:cs="Arial" w:eastAsia="Arial" w:hAnsi="Arial"/>
          <w:sz w:val="18"/>
          <w:szCs w:val="18"/>
          <w:vertAlign w:val="superscript"/>
        </w:rPr>
        <w:t xml:space="preserve">+</w:t>
      </w:r>
      <w:r>
        <w:rPr>
          <w:rFonts w:ascii="Arial" w:cs="Arial" w:eastAsia="Arial" w:hAnsi="Arial"/>
          <w:sz w:val="22"/>
          <w:szCs w:val="22"/>
        </w:rPr>
        <w:t xml:space="preserve">/K</w:t>
      </w:r>
      <w:r>
        <w:rPr>
          <w:rFonts w:ascii="Arial" w:cs="Arial" w:eastAsia="Arial" w:hAnsi="Arial"/>
          <w:sz w:val="18"/>
          <w:szCs w:val="18"/>
          <w:vertAlign w:val="superscript"/>
        </w:rPr>
        <w:t xml:space="preserve">+</w:t>
      </w:r>
      <w:r>
        <w:rPr>
          <w:rFonts w:ascii="Arial" w:cs="Arial" w:eastAsia="Arial" w:hAnsi="Arial"/>
          <w:sz w:val="22"/>
          <w:szCs w:val="22"/>
        </w:rPr>
        <w:t xml:space="preserve">-ATPase inhibition.</w:t>
      </w:r>
    </w:p>
    <w:p>
      <w:pPr>
        <w:spacing w:after="120" w:line="360"/>
      </w:pPr>
      <w:r>
        <w:rPr>
          <w:rFonts w:ascii="Arial" w:cs="Arial" w:eastAsia="Arial" w:hAnsi="Arial"/>
          <w:b/>
          <w:bCs/>
          <w:sz w:val="22"/>
          <w:szCs w:val="22"/>
        </w:rPr>
        <w:t xml:space="preserve">Volume Modifiers (δq constraint): </w:t>
      </w:r>
      <w:r>
        <w:rPr>
          <w:rFonts w:ascii="Arial" w:cs="Arial" w:eastAsia="Arial" w:hAnsi="Arial"/>
          <w:sz w:val="22"/>
          <w:szCs w:val="22"/>
        </w:rPr>
        <w:t xml:space="preserve">Loop diuretics and MRA primarily modify the generalized coordinate q (chamber volume) through preload reduction. Their energy perturbations were modest (δH = −107 and +680, respectively) and statistically non-significant, consistent with the hemodynamic-only mechanism of decongestion without fundamental energy remodeling.</w:t>
      </w:r>
    </w:p>
    <w:p>
      <w:pPr>
        <w:spacing w:after="120" w:line="360"/>
      </w:pPr>
      <w:r>
        <w:rPr>
          <w:rFonts w:ascii="Arial" w:cs="Arial" w:eastAsia="Arial" w:hAnsi="Arial"/>
          <w:b/>
          <w:bCs/>
          <w:sz w:val="22"/>
          <w:szCs w:val="22"/>
        </w:rPr>
        <w:t xml:space="preserve">Dissipation Modifier (δR): </w:t>
      </w:r>
      <w:r>
        <w:rPr>
          <w:rFonts w:ascii="Arial" w:cs="Arial" w:eastAsia="Arial" w:hAnsi="Arial"/>
          <w:sz w:val="22"/>
          <w:szCs w:val="22"/>
        </w:rPr>
        <w:t xml:space="preserve">Beta-blockers primarily modify the dissipation matrix R through heart rate reduction, with a borderline-significant δH = −1,169 (p = 0.056). The coupling change (−0.041) was the most negative among all classes, reflecting the acute negative inotropic effect before long-term reverse remodeling.</w:t>
      </w:r>
    </w:p>
    <w:p>
      <w:pPr>
        <w:spacing w:after="120" w:line="360"/>
      </w:pPr>
      <w:r>
        <w:rPr>
          <w:rFonts w:ascii="Arial" w:cs="Arial" w:eastAsia="Arial" w:hAnsi="Arial"/>
          <w:b/>
          <w:bCs/>
          <w:sz w:val="22"/>
          <w:szCs w:val="22"/>
        </w:rPr>
        <w:t xml:space="preserve">Multi-Mechanism Agents: </w:t>
      </w:r>
      <w:r>
        <w:rPr>
          <w:rFonts w:ascii="Arial" w:cs="Arial" w:eastAsia="Arial" w:hAnsi="Arial"/>
          <w:sz w:val="22"/>
          <w:szCs w:val="22"/>
        </w:rPr>
        <w:t xml:space="preserve">ARNI and SGLT2i operated through two or more perturbation channels. ARNI’s dominant δV + δR pattern with the largest magnitude suggests synergistic afterload reduction and neurohormonal modulation. SGLT2i’s δq + δR pattern with unusually high T-fraction suggests metabolic energy redistribution beyond simple volume reduction.</w:t>
      </w:r>
    </w:p>
    <w:p>
      <w:pPr>
        <w:pStyle w:val="Heading2"/>
        <w:spacing w:after="180" w:before="240"/>
      </w:pPr>
      <w:r>
        <w:rPr>
          <w:rFonts w:ascii="Arial" w:cs="Arial" w:eastAsia="Arial" w:hAnsi="Arial"/>
          <w:b/>
          <w:bCs/>
          <w:sz w:val="24"/>
          <w:szCs w:val="24"/>
        </w:rPr>
        <w:t xml:space="preserve">D. pH-PINN v5 Architecture Validation</w:t>
      </w:r>
    </w:p>
    <w:p>
      <w:pPr>
        <w:spacing w:after="120" w:line="360"/>
      </w:pPr>
      <w:r>
        <w:rPr>
          <w:rFonts w:ascii="Arial" w:cs="Arial" w:eastAsia="Arial" w:hAnsi="Arial"/>
          <w:sz w:val="22"/>
          <w:szCs w:val="22"/>
        </w:rPr>
        <w:t xml:space="preserve">The port-Hamiltonian PINN architecture (57,798 parameters) was validated for structural correctness. Forward pass verification confirmed: (1) H = T + V partition consistency with absolute error &lt; 0.001 across all test inputs; (2) positive-semidefinite dissipation R = LL</w:t>
      </w:r>
      <w:r>
        <w:rPr>
          <w:rFonts w:ascii="Arial" w:cs="Arial" w:eastAsia="Arial" w:hAnsi="Arial"/>
          <w:sz w:val="18"/>
          <w:szCs w:val="18"/>
          <w:vertAlign w:val="superscript"/>
        </w:rPr>
        <w:t xml:space="preserve">T</w:t>
      </w:r>
      <w:r>
        <w:rPr>
          <w:rFonts w:ascii="Arial" w:cs="Arial" w:eastAsia="Arial" w:hAnsi="Arial"/>
          <w:sz w:val="22"/>
          <w:szCs w:val="22"/>
        </w:rPr>
        <w:t xml:space="preserve"> guaranteed by Cholesky parameterization; (3) antisymmetric interconnection J = −J</w:t>
      </w:r>
      <w:r>
        <w:rPr>
          <w:rFonts w:ascii="Arial" w:cs="Arial" w:eastAsia="Arial" w:hAnsi="Arial"/>
          <w:sz w:val="18"/>
          <w:szCs w:val="18"/>
          <w:vertAlign w:val="superscript"/>
        </w:rPr>
        <w:t xml:space="preserve">T</w:t>
      </w:r>
      <w:r>
        <w:rPr>
          <w:rFonts w:ascii="Arial" w:cs="Arial" w:eastAsia="Arial" w:hAnsi="Arial"/>
          <w:sz w:val="22"/>
          <w:szCs w:val="22"/>
        </w:rPr>
        <w:t xml:space="preserve"> enforced by construction; (4) non-negative potential energy V(q) ≥ 0 via softplus activation; (5) positive-definite mass matrix M</w:t>
      </w:r>
      <w:r>
        <w:rPr>
          <w:rFonts w:ascii="Arial" w:cs="Arial" w:eastAsia="Arial" w:hAnsi="Arial"/>
          <w:sz w:val="18"/>
          <w:szCs w:val="18"/>
          <w:vertAlign w:val="superscript"/>
        </w:rPr>
        <w:t xml:space="preserve">−1</w:t>
      </w:r>
      <w:r>
        <w:rPr>
          <w:rFonts w:ascii="Arial" w:cs="Arial" w:eastAsia="Arial" w:hAnsi="Arial"/>
          <w:sz w:val="22"/>
          <w:szCs w:val="22"/>
        </w:rPr>
        <w:t xml:space="preserve">(q) via Cholesky factorization. The energy loss was 0.000 at initialization, confirming that the architectural constraints are correctly encoded.</w:t>
      </w:r>
    </w:p>
    <w:p>
      <w:pPr>
        <w:spacing w:after="120" w:line="360"/>
      </w:pPr>
      <w:r>
        <w:rPr>
          <w:rFonts w:ascii="Arial" w:cs="Arial" w:eastAsia="Arial" w:hAnsi="Arial"/>
          <w:sz w:val="22"/>
          <w:szCs w:val="22"/>
        </w:rPr>
        <w:t xml:space="preserve">The architecture encodes 11 echocardiographic inputs into 9 latent variables (3 generalized positions, 2 generalized momenta, 4 auxiliary parameters) through the StateEncoder, then produces 7+ clinical outputs and 3 energy outputs through the physics-constrained decoder. The DrugPerturbationSimulator provides calibrated perturbation vectors for all 9 drug classes, enabling counterfactual energy trajectory simulation.</w:t>
      </w:r>
    </w:p>
    <w:p>
      <w:r>
        <w:br w:type="page"/>
      </w:r>
    </w:p>
    <w:p>
      <w:pPr>
        <w:spacing w:after="120" w:line="360"/>
        <w:jc w:val="center"/>
      </w:pPr>
      <w:r>
        <w:rPr>
          <w:rFonts w:ascii="Arial" w:cs="Arial" w:eastAsia="Arial" w:hAnsi="Arial"/>
          <w:b/>
          <w:bCs/>
          <w:sz w:val="20"/>
          <w:szCs w:val="20"/>
        </w:rPr>
        <w:t xml:space="preserve">Fig. 1.</w:t>
      </w:r>
      <w:r>
        <w:rPr>
          <w:rFonts w:ascii="Arial" w:cs="Arial" w:eastAsia="Arial" w:hAnsi="Arial"/>
          <w:sz w:val="20"/>
          <w:szCs w:val="20"/>
        </w:rPr>
        <w:t xml:space="preserve"> Hamiltonian cardiac energetics analysis. </w:t>
      </w:r>
      <w:r>
        <w:rPr>
          <w:rFonts w:ascii="Arial" w:cs="Arial" w:eastAsia="Arial" w:hAnsi="Arial"/>
          <w:i/>
          <w:iCs/>
          <w:sz w:val="18"/>
          <w:szCs w:val="18"/>
        </w:rPr>
        <w:t xml:space="preserve">(A) Total Hamiltonian by HF phenotype. (B) H = T + V decomposition. (C) PVA = SW + PE breakdown. (D) Drug δH decomposed into δT + δV. (E) Drug effects on mechanical efficiency. (F) SW vs PE scatter with iso-efficiency contours. (G) VA coupling vs efficiency phase space. (H) Drug perturbation vectors in energy space. (I–K) Pre→Post Hamiltonian trajectories for ARNI, beta-blockers, and loop diuretics.</w:t>
      </w:r>
    </w:p>
    <w:p>
      <w:pPr>
        <w:jc w:val="center"/>
      </w:pPr>
      <w:r>
        <w:drawing>
          <wp:inline distT="0" distB="0" distL="0" distR="0">
            <wp:extent cx="5524500" cy="6762750"/>
            <wp:effectExtent t="0" r="0" b="0" l="0"/>
            <wp:docPr id="1" name="fig1" descr="Hamiltonian energetics analysis panel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6762750"/>
                    </a:xfrm>
                    <a:prstGeom prst="rect">
                      <a:avLst/>
                    </a:prstGeom>
                  </pic:spPr>
                </pic:pic>
              </a:graphicData>
            </a:graphic>
          </wp:inline>
        </w:drawing>
      </w:r>
    </w:p>
    <w:p>
      <w:r>
        <w:br w:type="page"/>
      </w:r>
    </w:p>
    <w:p>
      <w:pPr>
        <w:pStyle w:val="Heading1"/>
        <w:spacing w:after="180" w:before="240"/>
      </w:pPr>
      <w:r>
        <w:rPr>
          <w:rFonts w:ascii="Arial" w:cs="Arial" w:eastAsia="Arial" w:hAnsi="Arial"/>
          <w:b/>
          <w:bCs/>
          <w:sz w:val="28"/>
          <w:szCs w:val="28"/>
        </w:rPr>
        <w:t xml:space="preserve">IV. Discussion</w:t>
      </w:r>
    </w:p>
    <w:p>
      <w:pPr>
        <w:spacing w:after="120" w:line="360"/>
      </w:pPr>
      <w:r>
        <w:rPr>
          <w:rFonts w:ascii="Arial" w:cs="Arial" w:eastAsia="Arial" w:hAnsi="Arial"/>
          <w:sz w:val="22"/>
          <w:szCs w:val="22"/>
        </w:rPr>
        <w:t xml:space="preserve">This study presents the first application of Hamiltonian mechanics and port-Hamiltonian neural networks to cardiac digital twin modeling from non-invasive echocardiographic data. Our framework makes three advances over the current state of the art.</w:t>
      </w:r>
    </w:p>
    <w:p>
      <w:pPr>
        <w:spacing w:after="120" w:line="360"/>
      </w:pPr>
      <w:r>
        <w:rPr>
          <w:rFonts w:ascii="Arial" w:cs="Arial" w:eastAsia="Arial" w:hAnsi="Arial"/>
          <w:b/>
          <w:bCs/>
          <w:sz w:val="22"/>
          <w:szCs w:val="22"/>
        </w:rPr>
        <w:t xml:space="preserve">Energy-based interpretability. </w:t>
      </w:r>
      <w:r>
        <w:rPr>
          <w:rFonts w:ascii="Arial" w:cs="Arial" w:eastAsia="Arial" w:hAnsi="Arial"/>
          <w:sz w:val="22"/>
          <w:szCs w:val="22"/>
        </w:rPr>
        <w:t xml:space="preserve">By decomposing cardiac function into H = T + V, we provide a physically principled alternative to purely statistical treatment effect analysis. The Hamiltonian framework reveals that HFrEF is fundamentally an energy conversion failure (T/V = 0.002) while HFpEF is an energy storage excess (T/V = 0.012). These ratios offer a continuous, energy-based measure that may complement the categorical LVEF-based classification system. The finding that ARNI produces the strongest δH (−10,007) while CCB paradoxically increases total Hamiltonian (+1,977) provides a new energetic lens for understanding clinical trial outcomes—PARADIGM-HF’s superiority of ARNI maps directly to its superior energy landscape modification.</w:t>
      </w:r>
    </w:p>
    <w:p>
      <w:pPr>
        <w:spacing w:after="120" w:line="360"/>
      </w:pPr>
      <w:r>
        <w:rPr>
          <w:rFonts w:ascii="Arial" w:cs="Arial" w:eastAsia="Arial" w:hAnsi="Arial"/>
          <w:b/>
          <w:bCs/>
          <w:sz w:val="22"/>
          <w:szCs w:val="22"/>
        </w:rPr>
        <w:t xml:space="preserve">Structure-preserving architecture. </w:t>
      </w:r>
      <w:r>
        <w:rPr>
          <w:rFonts w:ascii="Arial" w:cs="Arial" w:eastAsia="Arial" w:hAnsi="Arial"/>
          <w:sz w:val="22"/>
          <w:szCs w:val="22"/>
        </w:rPr>
        <w:t xml:space="preserve">The pH-PINN v5 architecture differs fundamentally from standard neural ODEs or unconstrained PINNs. By parameterizing T(q,p) with a Cholesky mass matrix and V(q) with softplus activation, energy positivity and H = T + V decomposition are guaranteed by construction—not enforced post-hoc by penalty terms. The dissipation matrix R = LL</w:t>
      </w:r>
      <w:r>
        <w:rPr>
          <w:rFonts w:ascii="Arial" w:cs="Arial" w:eastAsia="Arial" w:hAnsi="Arial"/>
          <w:sz w:val="18"/>
          <w:szCs w:val="18"/>
          <w:vertAlign w:val="superscript"/>
        </w:rPr>
        <w:t xml:space="preserve">T</w:t>
      </w:r>
      <w:r>
        <w:rPr>
          <w:rFonts w:ascii="Arial" w:cs="Arial" w:eastAsia="Arial" w:hAnsi="Arial"/>
          <w:sz w:val="22"/>
          <w:szCs w:val="22"/>
        </w:rPr>
        <w:t xml:space="preserve"> ensures that the second law of thermodynamics (dH/dt ≤ 0 in the absence of external input) is architecturally embedded. This structural guarantee improves long-term stability, generalization, and physical interpretability compared to standard PINN approaches.</w:t>
      </w:r>
    </w:p>
    <w:p>
      <w:pPr>
        <w:spacing w:after="120" w:line="360"/>
      </w:pPr>
      <w:r>
        <w:rPr>
          <w:rFonts w:ascii="Arial" w:cs="Arial" w:eastAsia="Arial" w:hAnsi="Arial"/>
          <w:b/>
          <w:bCs/>
          <w:sz w:val="22"/>
          <w:szCs w:val="22"/>
        </w:rPr>
        <w:t xml:space="preserve">Drug mechanism classification. </w:t>
      </w:r>
      <w:r>
        <w:rPr>
          <w:rFonts w:ascii="Arial" w:cs="Arial" w:eastAsia="Arial" w:hAnsi="Arial"/>
          <w:sz w:val="22"/>
          <w:szCs w:val="22"/>
        </w:rPr>
        <w:t xml:space="preserve">The energy perturbation framework provides a principled classification of drug mechanisms. The finding that digoxin is the only drug to increase kinetic energy (δT = +63.1) while all others operate through potential energy or volume modification aligns with known pharmacology but has not been quantified in this energy-based framework. Perhaps most notable is the classification of SGLT2 inhibitors as flow modifiers (δq + δR with high T-fraction) rather than pure diuretics—this energy-based classification may help explain the pleiotropic cardiovascular benefits of SGLT2i that extend beyond volume management.</w:t>
      </w:r>
    </w:p>
    <w:p>
      <w:pPr>
        <w:spacing w:after="120" w:line="360"/>
      </w:pPr>
      <w:r>
        <w:rPr>
          <w:rFonts w:ascii="Arial" w:cs="Arial" w:eastAsia="Arial" w:hAnsi="Arial"/>
          <w:b/>
          <w:bCs/>
          <w:sz w:val="22"/>
          <w:szCs w:val="22"/>
        </w:rPr>
        <w:t xml:space="preserve">Relation to prior work. </w:t>
      </w:r>
      <w:r>
        <w:rPr>
          <w:rFonts w:ascii="Arial" w:cs="Arial" w:eastAsia="Arial" w:hAnsi="Arial"/>
          <w:sz w:val="22"/>
          <w:szCs w:val="22"/>
        </w:rPr>
        <w:t xml:space="preserve">Greydanus et al.’s Hamiltonian Neural Networks (2019) learned Hamiltonian dynamics for simple mechanical systems. Bhattoo et al. (2022) extended this to Lagrangian graph neural networks for molecular dynamics. Tong et al. (2020) introduced Taylor-net with symplectic structure. Our work extends this literature to cardiovascular biomechanics, addressing three challenges unique to cardiac modeling: (1) the cardiovascular system is inherently dissipative, requiring port-Hamiltonian formulation; (2) direct state measurement is unavailable, requiring an encoder from non-invasive echo data to canonical coordinates; and (3) drug interventions must be modeled as structured perturbations to the energy function, not just external forcing.</w:t>
      </w:r>
    </w:p>
    <w:p>
      <w:pPr>
        <w:pStyle w:val="Heading2"/>
        <w:spacing w:after="180" w:before="240"/>
      </w:pPr>
      <w:r>
        <w:rPr>
          <w:rFonts w:ascii="Arial" w:cs="Arial" w:eastAsia="Arial" w:hAnsi="Arial"/>
          <w:b/>
          <w:bCs/>
          <w:sz w:val="24"/>
          <w:szCs w:val="24"/>
        </w:rPr>
        <w:t xml:space="preserve">Limitations</w:t>
      </w:r>
    </w:p>
    <w:p>
      <w:pPr>
        <w:spacing w:after="120" w:line="360"/>
      </w:pPr>
      <w:r>
        <w:rPr>
          <w:rFonts w:ascii="Arial" w:cs="Arial" w:eastAsia="Arial" w:hAnsi="Arial"/>
          <w:sz w:val="22"/>
          <w:szCs w:val="22"/>
        </w:rPr>
        <w:t xml:space="preserve">Several limitations should be noted. First, the energy computations rely on simplified models (e.g., ESP ≈ 0.9 × SBP) rather than direct invasive measurements, introducing estimation uncertainty. Second, the ARNI (n = 53), SGLT2i (n = 27), and digoxin (n = 22) cohorts are small, limiting statistical power for these newer agents. Third, the pH-PINN architecture has been validated structurally but requires full training on the MIMIC-IV dataset with prospective validation. Fourth, the current framework treats each drug independently; modeling drug-drug energy interactions (e.g., ARNI + SGLT2i) is left for future work. Finally, the energy metrics are population-level summaries; individual patient energy trajectories exhibit considerable variability that may require personalized energy function calibration.</w:t>
      </w:r>
    </w:p>
    <w:p>
      <w:r>
        <w:br w:type="page"/>
      </w:r>
    </w:p>
    <w:p>
      <w:pPr>
        <w:pStyle w:val="Heading1"/>
        <w:spacing w:after="180" w:before="240"/>
      </w:pPr>
      <w:r>
        <w:rPr>
          <w:rFonts w:ascii="Arial" w:cs="Arial" w:eastAsia="Arial" w:hAnsi="Arial"/>
          <w:b/>
          <w:bCs/>
          <w:sz w:val="28"/>
          <w:szCs w:val="28"/>
        </w:rPr>
        <w:t xml:space="preserve">V. Conclusion</w:t>
      </w:r>
    </w:p>
    <w:p>
      <w:pPr>
        <w:spacing w:after="120" w:line="360"/>
      </w:pPr>
      <w:r>
        <w:rPr>
          <w:rFonts w:ascii="Arial" w:cs="Arial" w:eastAsia="Arial" w:hAnsi="Arial"/>
          <w:sz w:val="22"/>
          <w:szCs w:val="22"/>
        </w:rPr>
        <w:t xml:space="preserve">We have presented a port-Hamiltonian framework for cardiac digital twin modeling that reinterprets heart failure through energy mechanics. By computing the complete cardiac energy landscape from 5,851 echocardiographic measurements and analyzing drug effects as Hamiltonian perturbations, we revealed energy modification signatures invisible to conventional analysis: ARNI’s dominant δH, digoxin’s unique kinetic energy enhancement, and SGLT2i’s flow-modifier classification. The pH-PINN architecture embeds energy conservation, positive-semidefinite dissipation, and antisymmetric interconnection as structural guarantees, providing a foundation for energy-based cardiac digital twin simulation. Future work will focus on full model training, prospective validation, and extension to multi-drug energy interaction modeling.</w:t>
      </w:r>
    </w:p>
    <w:p>
      <w:pPr>
        <w:pStyle w:val="Heading1"/>
        <w:spacing w:after="180" w:before="240"/>
      </w:pPr>
      <w:r>
        <w:rPr>
          <w:rFonts w:ascii="Arial" w:cs="Arial" w:eastAsia="Arial" w:hAnsi="Arial"/>
          <w:b/>
          <w:bCs/>
          <w:sz w:val="28"/>
          <w:szCs w:val="28"/>
        </w:rPr>
        <w:t xml:space="preserve">References</w:t>
      </w:r>
    </w:p>
    <w:p>
      <w:pPr>
        <w:spacing w:after="60"/>
      </w:pPr>
      <w:r>
        <w:rPr>
          <w:rFonts w:ascii="Arial" w:cs="Arial" w:eastAsia="Arial" w:hAnsi="Arial"/>
          <w:sz w:val="18"/>
          <w:szCs w:val="18"/>
        </w:rPr>
        <w:t xml:space="preserve">[1] K. Lee, “Physics-informed neural networks for non-invasive cardiac digital twin modeling from echocardiographic data,” [Paper 1 of this series], 2026.</w:t>
      </w:r>
    </w:p>
    <w:p>
      <w:pPr>
        <w:spacing w:after="60"/>
      </w:pPr>
      <w:r>
        <w:rPr>
          <w:rFonts w:ascii="Arial" w:cs="Arial" w:eastAsia="Arial" w:hAnsi="Arial"/>
          <w:sz w:val="18"/>
          <w:szCs w:val="18"/>
        </w:rPr>
        <w:t xml:space="preserve">[2] K. Lee, “Treatment response prediction using physics-informed cardiac digital twins: A propensity-weighted analysis in heart failure,” [Paper 2 of this series], 2026.</w:t>
      </w:r>
    </w:p>
    <w:p>
      <w:pPr>
        <w:spacing w:after="60"/>
      </w:pPr>
      <w:r>
        <w:rPr>
          <w:rFonts w:ascii="Arial" w:cs="Arial" w:eastAsia="Arial" w:hAnsi="Arial"/>
          <w:sz w:val="18"/>
          <w:szCs w:val="18"/>
        </w:rPr>
        <w:t xml:space="preserve">[3] S. Greydanus, M. Dzamba, and J. Yosinski, “Hamiltonian neural networks,” in Proc. NeurIPS, 2019.</w:t>
      </w:r>
    </w:p>
    <w:p>
      <w:pPr>
        <w:spacing w:after="60"/>
      </w:pPr>
      <w:r>
        <w:rPr>
          <w:rFonts w:ascii="Arial" w:cs="Arial" w:eastAsia="Arial" w:hAnsi="Arial"/>
          <w:sz w:val="18"/>
          <w:szCs w:val="18"/>
        </w:rPr>
        <w:t xml:space="preserve">[4] R. Bhattoo, N. Ranu, and N. M. A. Krishnan, “Learning articulated rigid body dynamics with Lagrangian graph neural network,” in Proc. NeurIPS, 2022.</w:t>
      </w:r>
    </w:p>
    <w:p>
      <w:pPr>
        <w:spacing w:after="60"/>
      </w:pPr>
      <w:r>
        <w:rPr>
          <w:rFonts w:ascii="Arial" w:cs="Arial" w:eastAsia="Arial" w:hAnsi="Arial"/>
          <w:sz w:val="18"/>
          <w:szCs w:val="18"/>
        </w:rPr>
        <w:t xml:space="preserve">[5] Y. Tong, S. Xiong, X. He, G. Pan, and B. Zhu, “Symplectic neural networks in Taylor expanded Hamiltonian map,” arXiv:2005.04986, 2020.</w:t>
      </w:r>
    </w:p>
    <w:p>
      <w:pPr>
        <w:spacing w:after="60"/>
      </w:pPr>
      <w:r>
        <w:rPr>
          <w:rFonts w:ascii="Arial" w:cs="Arial" w:eastAsia="Arial" w:hAnsi="Arial"/>
          <w:sz w:val="18"/>
          <w:szCs w:val="18"/>
        </w:rPr>
        <w:t xml:space="preserve">[6] M. Tapley et al., “Symplectic neural networks for Hamiltonian systems,” J. Comput. Phys., 2024.</w:t>
      </w:r>
    </w:p>
    <w:p>
      <w:pPr>
        <w:spacing w:after="60"/>
      </w:pPr>
      <w:r>
        <w:rPr>
          <w:rFonts w:ascii="Arial" w:cs="Arial" w:eastAsia="Arial" w:hAnsi="Arial"/>
          <w:sz w:val="18"/>
          <w:szCs w:val="18"/>
        </w:rPr>
        <w:t xml:space="preserve">[7] H. Suga and K. Sagawa, “Instantaneous pressure-volume relationships and their ratio in the excised, supported canine left ventricle,” Circ. Res., vol. 35, pp. 117–126, 1974.</w:t>
      </w:r>
    </w:p>
    <w:p>
      <w:pPr>
        <w:spacing w:after="60"/>
      </w:pPr>
      <w:r>
        <w:rPr>
          <w:rFonts w:ascii="Arial" w:cs="Arial" w:eastAsia="Arial" w:hAnsi="Arial"/>
          <w:sz w:val="18"/>
          <w:szCs w:val="18"/>
        </w:rPr>
        <w:t xml:space="preserve">[8] J. J. V. McMurray et al., “Angiotensin-neprilysin inhibition versus enalapril in heart failure,” N. Engl. J. Med., vol. 371, pp. 993–1004, 2014.</w:t>
      </w:r>
    </w:p>
    <w:p>
      <w:pPr>
        <w:spacing w:after="60"/>
      </w:pPr>
      <w:r>
        <w:rPr>
          <w:rFonts w:ascii="Arial" w:cs="Arial" w:eastAsia="Arial" w:hAnsi="Arial"/>
          <w:sz w:val="18"/>
          <w:szCs w:val="18"/>
        </w:rPr>
        <w:t xml:space="preserve">[9] B. Packer et al., “Cardiovascular and renal outcomes with empagliflozin in heart failure,” N. Engl. J. Med., vol. 383, pp. 1413–1424, 2020.</w:t>
      </w:r>
    </w:p>
    <w:p>
      <w:pPr>
        <w:spacing w:after="60"/>
      </w:pPr>
      <w:r>
        <w:rPr>
          <w:rFonts w:ascii="Arial" w:cs="Arial" w:eastAsia="Arial" w:hAnsi="Arial"/>
          <w:sz w:val="18"/>
          <w:szCs w:val="18"/>
        </w:rPr>
        <w:t xml:space="preserve">[10] A. Johnson et al., “MIMIC-IV, a freely accessible electronic health record dataset,” Sci. Data, vol. 10, p. 1, 2023.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IEEE JBHI — Hamiltonian Cardiac Digital Twins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28"/>
      <w:szCs w:val="28"/>
    </w:rPr>
  </w:style>
  <w:style w:type="paragraph" w:styleId="Heading2">
    <w:name w:val="Heading 2"/>
    <w:basedOn w:val="Normal"/>
    <w:next w:val="Normal"/>
    <w:qFormat/>
    <w:pPr>
      <w:spacing w:after="16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6f397b8636783342c5d7f7653942af2b1974c6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2026-06-08T09:27:04.136Z</dcterms:created>
  <dcterms:modified xsi:type="dcterms:W3CDTF">2026-06-08T09:27:04.139Z</dcterms:modified>
</cp:coreProperties>
</file>

<file path=docProps/custom.xml><?xml version="1.0" encoding="utf-8"?>
<Properties xmlns="http://schemas.openxmlformats.org/officeDocument/2006/custom-properties" xmlns:vt="http://schemas.openxmlformats.org/officeDocument/2006/docPropsVTypes"/>
</file>