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Paper 3 — Supplementary Results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pH-PINN v5 Training Results, Temporal Validation &amp; Drug Interaction Network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Updated: June 8, 2026</w:t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III-E. pH-PINN v5 Training Results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port-Hamiltonian PINN (pH-PINN v5) was trained on the MIMIC-IV cardiac energetics dataset (N = 5,851 paired echocardiograms). The architecture comprises 61,169 trainable parameters organized as: StateEncoder (11 → 256 → 128 → 64), HamiltonianNet with separate kinetic T(q,p) and potential V(q) networks, Cholesky-parameterized dissipation matrix R, and dual decoders for 7 clinical and 6 energy outputs. Training used AdamW optimizer (lr = 2×10⁻³, weight decay = 10⁻⁴) with cosine annealing over 150 epochs, converging at epoch 115.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multi-objective loss L = L_recon + 0.5 × L_energy enforces both predictive accuracy and physical structure. The energy loss penalizes violations of H = T + V partition consistency, non-negativity of T and V (via softplus activation), and positive semi-definiteness of R (Cholesky factorization R = LLᵀ).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 III: pH-PINN v5 Test Set Performance (Random Split)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200"/>
        <w:gridCol w:w="1200"/>
        <w:gridCol w:w="9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Clinical R²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0.9844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0.9912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0.9780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0.9817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0.9568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0.9817</w:t>
            </w:r>
          </w:p>
        </w:tc>
      </w:tr>
    </w:tbl>
    <w:p>
      <w:pPr>
        <w:spacing w:after="10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200"/>
        <w:gridCol w:w="1200"/>
        <w:gridCol w:w="9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Energy R²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0.9869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0.9751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0.9870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0.9349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0.9800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0.9786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Structure guarantees: H = T + V conservation MSE = 3.37 × 10⁻¹⁵ (machine precision). R positive semi-definite violations = 0/200 samples tested.</w:t>
      </w:r>
    </w:p>
    <w:p>
      <w:pPr>
        <w:spacing w:after="100" w:before="20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fig2" descr="pH-PINN training curves" title="Trai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Fig. 2. pH-PINN v5 training results: (A) loss curves, (B) validation R², (C) clinical predictions, (D) energy conservation.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III-F. Temporal Split Validation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To assess prospective generalizability, we performed temporal split validation using median echo date as the cutoff (train: pre-median, test: post-median; n_train = 2,487, n_test = 2,925). Normalization statistics were computed exclusively from the training set. This design simulates prospective deployment where the model must predict on future, unseen patients.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 IV: Random vs Temporal Split R² Comparison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Random R²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Temporal R²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ΔR²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0.9844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0.9732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-0.0112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0.1147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0.9912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0.9841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-0.0071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0.0799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0.9780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0.9750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-0.0031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0.0874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coupling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0.9817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0.9410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-0.0407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0.0895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0.9568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0.9279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-0.0289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0.1770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efficiency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0.9817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0.9790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-0.0027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0.1037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0.9831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0.9791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-0.0040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0.1109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H_total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0.9869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0.9766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-0.0104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0.0677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T_kinetic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0.9751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0.9603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-0.0149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0.0729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V_potential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0.9870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0.9769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-0.0101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0.0658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mech_eff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0.9349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0.8815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-0.0534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0.1560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VA_coupling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0.9800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0.9589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-0.0211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0.1222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SW_J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0.9786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0.9586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-0.0200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0.1201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sz w:val="22"/>
          <w:szCs w:val="22"/>
        </w:rPr>
        <w:t xml:space="preserve">Mean R² degradation from random to temporal split was −0.016 (range: −0.001 to −0.053), confirming robust generalizability. The largest drop occurred in mechanical efficiency (−0.053) and EDP (−0.029), likely reflecting evolving clinical practice patterns. Critically, all outputs maintained R² &gt; 0.88, and the Hamiltonian conservation constraint (H = T + V MSE = 4.12 × 10⁻¹⁵) remained at machine precision.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III-G. Multi-Drug Energy Interaction Network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We constructed a drug interaction network by computing pairwise interaction effects for all 21 testable drug combinations (minimum n ≥ 20 co-prescribed). For each pair (A, B), the interaction term is defined as: Interaction = ΔH(A+B) − [ΔH(A only) + ΔH(B only) − ΔH(neither)]. Positive interaction indicates antagonism (less benefit than expected), while negative interaction indicates synergy (greater benefit).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Of 21 drug pairs, 11 (52%) demonstrated synergistic energy reduction, 9 (43%) showed antagonism, and 1 (5%) was additive. The strongest synergies were ARB+BB (interaction = −5,059 J, 280% supra-additive), RAASi+BB (−3,897 J), and ACEi+MRA (−3,751 J). Beta-blockers emerged as the most synergistic hub (5/6 connections synergistic), while CCB showed predominantly antagonistic interactions (5/6 antagonistic), suggesting caution with polypharmacy involving calcium channel blockers in HF.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 V: Top Drug-Drug Energy Interactions (ΔH)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1400"/>
        <w:gridCol w:w="1400"/>
        <w:gridCol w:w="1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Drug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Drug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Interaction (J)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% Supra-add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-5059.3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-280.2%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Synergistic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RAASi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-3896.9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-170.6%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Synergistic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-3751.1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-174.3%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Synergistic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-1744.6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-18.3%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Synergistic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-1675.6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-105.8%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Synergistic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RAASi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-1517.3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-197.3%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Synergistic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1178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-1413.0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-144.8%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Synergistic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476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-1369.3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-104.5%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Synergistic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RAASi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-710.5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-5879.6%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Synergistic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CCB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-348.4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-117.5%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Synergistic</w:t>
            </w:r>
          </w:p>
        </w:tc>
      </w:tr>
    </w:tbl>
    <w:p>
      <w:r>
        <w:br w:type="page"/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4429125"/>
            <wp:effectExtent t="0" r="0" b="0" l="0"/>
            <wp:docPr id="1" name="fig3" descr="Training, validation, interactions" title="Comprehens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Fig. 3. Comprehensive pH-PINN v5 results: (A-D) training curves and energy conservation, (E-F) temporal validation comparison, (G-H) drug interaction matrix and classification, (I-L) interaction network, top synergistic pairs, phenotype-specific interactions, and summary statistics.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sz w:val="16"/>
        <w:szCs w:val="16"/>
      </w:rPr>
      <w:t xml:space="preserve">Paper 3 Update — pH-PINN v5 Results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134ed5490f39a24926386187af4e2bc2f95b967.png"/><Relationship Id="rId10" Type="http://schemas.openxmlformats.org/officeDocument/2006/relationships/image" Target="media/cdaa3953b6073d6c77d1af96012fa8e8023af90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2026-06-08T09:58:13.278Z</dcterms:created>
  <dcterms:modified xsi:type="dcterms:W3CDTF">2026-06-08T09:58:13.278Z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