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left"/>
      </w:pPr>
      <w:r>
        <w:rPr>
          <w:rFonts w:ascii="Calibri" w:cs="Calibri" w:eastAsia="Calibri" w:hAnsi="Calibri"/>
          <w:b/>
          <w:bCs/>
          <w:sz w:val="22"/>
          <w:szCs w:val="22"/>
        </w:rPr>
        <w:t xml:space="preserve">Kwanhyeong Lee</w:t>
      </w:r>
    </w:p>
    <w:p>
      <w:pPr>
        <w:spacing w:after="20" w:line="276"/>
        <w:jc w:val="left"/>
      </w:pPr>
      <w:r>
        <w:rPr>
          <w:rFonts w:ascii="Calibri" w:cs="Calibri" w:eastAsia="Calibri" w:hAnsi="Calibri"/>
          <w:sz w:val="22"/>
          <w:szCs w:val="22"/>
        </w:rPr>
        <w:t xml:space="preserve">Soonchunhyang University College of Medicine (undergraduate student)</w:t>
      </w:r>
    </w:p>
    <w:p>
      <w:pPr>
        <w:spacing w:after="260" w:line="276"/>
        <w:jc w:val="left"/>
      </w:pPr>
      <w:r>
        <w:rPr>
          <w:rFonts w:ascii="Calibri" w:cs="Calibri" w:eastAsia="Calibri" w:hAnsi="Calibri"/>
          <w:sz w:val="22"/>
          <w:szCs w:val="22"/>
        </w:rPr>
        <w:t xml:space="preserve">Republic of Korea  ·  alex026376@sch.ac.kr</w:t>
      </w:r>
    </w:p>
    <w:p>
      <w:pPr>
        <w:spacing w:after="20" w:line="276"/>
        <w:jc w:val="left"/>
      </w:pPr>
      <w:r>
        <w:rPr>
          <w:rFonts w:ascii="Calibri" w:cs="Calibri" w:eastAsia="Calibri" w:hAnsi="Calibri"/>
          <w:sz w:val="22"/>
          <w:szCs w:val="22"/>
        </w:rPr>
        <w:t xml:space="preserve">To the Editor-in-Chief,</w:t>
      </w:r>
    </w:p>
    <w:p>
      <w:pPr>
        <w:spacing w:after="260" w:line="276"/>
        <w:jc w:val="left"/>
      </w:pPr>
      <w:r>
        <w:rPr>
          <w:rFonts w:ascii="Calibri" w:cs="Calibri" w:eastAsia="Calibri" w:hAnsi="Calibri"/>
          <w:b/>
          <w:bCs/>
          <w:sz w:val="22"/>
          <w:szCs w:val="22"/>
        </w:rPr>
        <w:t xml:space="preserve">IEEE Journal of Biomedical and Health Informatics</w:t>
      </w:r>
    </w:p>
    <w:p>
      <w:pPr>
        <w:spacing w:after="240" w:line="276"/>
        <w:jc w:val="left"/>
      </w:pPr>
      <w:r>
        <w:rPr>
          <w:rFonts w:ascii="Calibri" w:cs="Calibri" w:eastAsia="Calibri" w:hAnsi="Calibri"/>
          <w:b/>
          <w:bCs/>
          <w:sz w:val="22"/>
          <w:szCs w:val="22"/>
        </w:rPr>
        <w:t xml:space="preserve">Re: </w:t>
      </w:r>
      <w:r>
        <w:rPr>
          <w:rFonts w:ascii="Calibri" w:cs="Calibri" w:eastAsia="Calibri" w:hAnsi="Calibri"/>
          <w:sz w:val="22"/>
          <w:szCs w:val="22"/>
        </w:rPr>
        <w:t xml:space="preserve">Submission of an original research article — </w:t>
      </w:r>
      <w:r>
        <w:rPr>
          <w:rFonts w:ascii="Calibri" w:cs="Calibri" w:eastAsia="Calibri" w:hAnsi="Calibri"/>
          <w:i/>
          <w:iCs/>
          <w:sz w:val="22"/>
          <w:szCs w:val="22"/>
        </w:rPr>
        <w:t xml:space="preserve">“Port-Hamiltonian Physics-Informed Neural Networks for Cardiac Hemodynamic Inference with Architecturally Guaranteed Energy Consistency.”</w:t>
      </w:r>
    </w:p>
    <w:p>
      <w:pPr>
        <w:spacing w:after="200" w:line="276"/>
        <w:jc w:val="left"/>
      </w:pPr>
      <w:r>
        <w:rPr>
          <w:rFonts w:ascii="Calibri" w:cs="Calibri" w:eastAsia="Calibri" w:hAnsi="Calibri"/>
          <w:sz w:val="22"/>
          <w:szCs w:val="22"/>
        </w:rPr>
        <w:t xml:space="preserve">Dear Editor,</w:t>
      </w:r>
    </w:p>
    <w:p>
      <w:pPr>
        <w:spacing w:after="160" w:line="276"/>
        <w:jc w:val="left"/>
      </w:pPr>
      <w:r>
        <w:rPr>
          <w:rFonts w:ascii="Calibri" w:cs="Calibri" w:eastAsia="Calibri" w:hAnsi="Calibri"/>
          <w:sz w:val="22"/>
          <w:szCs w:val="22"/>
        </w:rPr>
        <w:t xml:space="preserve">I am pleased to submit the above manuscript for consideration as an original research article in the IEEE Journal of Biomedical and Health Informatics. Cardiac digital twins require solving three coupled problems—anatomical reconstruction, hemodynamic modeling, and physically faithful parameter inference—yet most existing work addresses these in isolation and, in the machine-learning setting, without guarantees of physical plausibility. This manuscript presents a modular framework that connects these components and, critically, embeds cardiovascular energy balance directly into the network architecture.</w:t>
      </w:r>
    </w:p>
    <w:p>
      <w:pPr>
        <w:spacing w:after="80" w:line="276"/>
        <w:jc w:val="left"/>
      </w:pPr>
      <w:r>
        <w:rPr>
          <w:rFonts w:ascii="Calibri" w:cs="Calibri" w:eastAsia="Calibri" w:hAnsi="Calibri"/>
          <w:sz w:val="22"/>
          <w:szCs w:val="22"/>
        </w:rPr>
        <w:t xml:space="preserve">The principal contributions are:</w:t>
      </w:r>
    </w:p>
    <w:p>
      <w:pPr>
        <w:pStyle w:val="ListParagraph"/>
        <w:numPr>
          <w:ilvl w:val="0"/>
          <w:numId w:val="1"/>
        </w:numPr>
        <w:spacing w:after="120" w:line="276"/>
      </w:pPr>
      <w:r>
        <w:rPr>
          <w:rFonts w:ascii="Calibri" w:cs="Calibri" w:eastAsia="Calibri" w:hAnsi="Calibri"/>
          <w:sz w:val="22"/>
          <w:szCs w:val="22"/>
        </w:rPr>
        <w:t xml:space="preserve">An integrated, modular pipeline that connects patient-anchored multi-structure anatomy (13 structures) to Windkessel-coupled, physics-constrained hemodynamic inference.</w:t>
      </w:r>
    </w:p>
    <w:p>
      <w:pPr>
        <w:pStyle w:val="ListParagraph"/>
        <w:numPr>
          <w:ilvl w:val="0"/>
          <w:numId w:val="1"/>
        </w:numPr>
        <w:spacing w:after="120" w:line="276"/>
      </w:pPr>
      <w:r>
        <w:rPr>
          <w:rFonts w:ascii="Calibri" w:cs="Calibri" w:eastAsia="Calibri" w:hAnsi="Calibri"/>
          <w:sz w:val="22"/>
          <w:szCs w:val="22"/>
        </w:rPr>
        <w:t xml:space="preserve">A port-Hamiltonian energy-balance formulation with scalar dissipation R(x)=r_diss·I estimated from the Windkessel characteristic impedance, used as an architectural inductive bias.</w:t>
      </w:r>
    </w:p>
    <w:p>
      <w:pPr>
        <w:pStyle w:val="ListParagraph"/>
        <w:numPr>
          <w:ilvl w:val="0"/>
          <w:numId w:val="1"/>
        </w:numPr>
        <w:spacing w:after="120" w:line="276"/>
      </w:pPr>
      <w:r>
        <w:rPr>
          <w:rFonts w:ascii="Calibri" w:cs="Calibri" w:eastAsia="Calibri" w:hAnsi="Calibri"/>
          <w:sz w:val="22"/>
          <w:szCs w:val="22"/>
        </w:rPr>
        <w:t xml:space="preserve">An ablation across four matched-capacity models showing that hard architectural constraints match baseline predictive accuracy (R^2 ~ 0.97) while GUARANTEEING physical validity by construction, whereas identical-capacity unconstrained baselines violate physical validity (negative energies, non-PSD dissipation) in up to 100% of test cases.</w:t>
      </w:r>
    </w:p>
    <w:p>
      <w:pPr>
        <w:pStyle w:val="ListParagraph"/>
        <w:numPr>
          <w:ilvl w:val="0"/>
          <w:numId w:val="1"/>
        </w:numPr>
        <w:spacing w:after="120" w:line="276"/>
      </w:pPr>
      <w:r>
        <w:rPr>
          <w:rFonts w:ascii="Calibri" w:cs="Calibri" w:eastAsia="Calibri" w:hAnsi="Calibri"/>
          <w:sz w:val="22"/>
          <w:szCs w:val="22"/>
        </w:rPr>
        <w:t xml:space="preserve">Large-scale external validation across 9,842 ICU patients (eICU + MIMIC-IV) with explicit separation of directly measured parameters from surrogate-derived indices.</w:t>
      </w:r>
    </w:p>
    <w:p>
      <w:pPr>
        <w:spacing w:after="160" w:line="276"/>
        <w:jc w:val="left"/>
      </w:pPr>
      <w:r>
        <w:rPr>
          <w:rFonts w:ascii="Calibri" w:cs="Calibri" w:eastAsia="Calibri" w:hAnsi="Calibri"/>
          <w:sz w:val="22"/>
          <w:szCs w:val="22"/>
        </w:rPr>
        <w:t xml:space="preserve">We believe the work is well matched to JBHI's scope at the intersection of biomedical informatics, machine learning for health, and physiological modeling. The ablation study directly addresses a central question for physics-informed models in health informatics—whether structural constraints contribute beyond raw capacity—and shows that they provide physically valid internal states at no cost to predictive accuracy, a property essential for clinically trustworthy digital twins. Throughout, we are explicit about validation strength, distinguishing directly measured (gold-standard) quantities from surrogate-derived indices, and we clearly delineate the model's intended operating domain (LV-centric pump-function assessment).</w:t>
      </w:r>
    </w:p>
    <w:p>
      <w:pPr>
        <w:spacing w:after="160" w:line="276"/>
        <w:jc w:val="left"/>
      </w:pPr>
      <w:r>
        <w:rPr>
          <w:rFonts w:ascii="Calibri" w:cs="Calibri" w:eastAsia="Calibri" w:hAnsi="Calibri"/>
          <w:sz w:val="22"/>
          <w:szCs w:val="22"/>
        </w:rPr>
        <w:t xml:space="preserve">This manuscript is original, has not been published previously, and is not under consideration for publication elsewhere. The work involves only de-identified, publicly available research databases (MM-WHS, STACOM, eICU, MIMIC-IV) used under their respective data-use agreements. The author declares no competing interests. The corresponding and sole author has approved the submission.</w:t>
      </w:r>
    </w:p>
    <w:p>
      <w:pPr>
        <w:spacing w:after="240" w:line="276"/>
        <w:jc w:val="left"/>
      </w:pPr>
      <w:r>
        <w:rPr>
          <w:rFonts w:ascii="Calibri" w:cs="Calibri" w:eastAsia="Calibri" w:hAnsi="Calibri"/>
          <w:sz w:val="22"/>
          <w:szCs w:val="22"/>
        </w:rPr>
        <w:t xml:space="preserve">Thank you for your time and consideration. I look forward to the reviewers' feedback.</w:t>
      </w:r>
    </w:p>
    <w:p>
      <w:pPr>
        <w:spacing w:after="200" w:line="276"/>
        <w:jc w:val="left"/>
      </w:pPr>
      <w:r>
        <w:rPr>
          <w:rFonts w:ascii="Calibri" w:cs="Calibri" w:eastAsia="Calibri" w:hAnsi="Calibri"/>
          <w:sz w:val="22"/>
          <w:szCs w:val="22"/>
        </w:rPr>
        <w:t xml:space="preserve">Sincerely,</w:t>
      </w:r>
    </w:p>
    <w:p>
      <w:pPr>
        <w:spacing w:after="0" w:line="276"/>
        <w:jc w:val="left"/>
      </w:pPr>
      <w:r>
        <w:rPr>
          <w:rFonts w:ascii="Calibri" w:cs="Calibri" w:eastAsia="Calibri" w:hAnsi="Calibri"/>
          <w:b/>
          <w:bCs/>
          <w:sz w:val="22"/>
          <w:szCs w:val="22"/>
        </w:rPr>
        <w:t xml:space="preserve">Kwanhyeong Lee</w:t>
      </w:r>
    </w:p>
    <w:p>
      <w:pPr>
        <w:spacing w:after="0" w:line="276"/>
        <w:jc w:val="left"/>
      </w:pPr>
      <w:r>
        <w:rPr>
          <w:rFonts w:ascii="Calibri" w:cs="Calibri" w:eastAsia="Calibri" w:hAnsi="Calibri"/>
          <w:sz w:val="22"/>
          <w:szCs w:val="22"/>
        </w:rPr>
        <w:t xml:space="preserve">Corresponding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2026-07-24T16:11:06.027Z</dcterms:created>
  <dcterms:modified xsi:type="dcterms:W3CDTF">2026-07-24T16:11:06.027Z</dcterms:modified>
</cp:coreProperties>
</file>

<file path=docProps/custom.xml><?xml version="1.0" encoding="utf-8"?>
<Properties xmlns="http://schemas.openxmlformats.org/officeDocument/2006/custom-properties" xmlns:vt="http://schemas.openxmlformats.org/officeDocument/2006/docPropsVTypes"/>
</file>