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0"/>
          <w:szCs w:val="30"/>
        </w:rPr>
        <w:t xml:space="preserve">Supplementary Material</w:t>
      </w:r>
    </w:p>
    <w:p>
      <w:pPr>
        <w:spacing w:after="320"/>
        <w:jc w:val="center"/>
      </w:pPr>
      <w:r>
        <w:rPr>
          <w:i/>
          <w:iCs/>
          <w:sz w:val="20"/>
          <w:szCs w:val="20"/>
        </w:rPr>
        <w:t xml:space="preserve">Companion to: </w:t>
      </w:r>
      <w:r>
        <w:rPr>
          <w:sz w:val="20"/>
          <w:szCs w:val="20"/>
        </w:rPr>
        <w:t xml:space="preserve">“Port-Hamiltonian Physics-Informed Neural Networks for Cardiac Hemodynamic Inference with Architecturally Guaranteed Energy Consistency.”</w:t>
      </w:r>
    </w:p>
    <w:p>
      <w:pPr>
        <w:pStyle w:val="Heading1"/>
        <w:spacing w:after="140" w:before="280"/>
      </w:pPr>
      <w:r>
        <w:t xml:space="preserve">S1. Anatomical Reconstruction Statistics</w:t>
      </w:r>
    </w:p>
    <w:p>
      <w:pPr>
        <w:spacing w:after="120"/>
      </w:pPr>
      <w:r>
        <w:rPr>
          <w:sz w:val="20"/>
          <w:szCs w:val="20"/>
        </w:rPr>
        <w:t xml:space="preserve">The multi-structure assembly integrated 13 cardiac structures totaling 957,608 triangular mesh elements and 175.7 MB of geometric data (Fig. S1C). Analysis across 20 MM-WHS cases gave population-level chamber volumes of LV 82.5 ± 35.0 mL, RV 116.7 ± 36.3 mL, LA 79.3 ± 25.1 mL, and RA 83.7 ± 28.9 mL (Fig. S1A). Myocardial mass averaged 115.8 ± 28.7 g. Wall-thickness analysis of Case 1009 showed a mean of 6.8 ± 2.1 mm with regional variation — apex 6.7 ± 1.7 mm, mid-ventricular 7.0 ± 2.0 mm, base 6.8 ± 2.6 mm (Fig. S1B) — consistent with published normal ranges.</w:t>
      </w:r>
    </w:p>
    <w:p>
      <w:pPr>
        <w:spacing w:after="120"/>
      </w:pPr>
      <w:r>
        <w:rPr>
          <w:i/>
          <w:iCs/>
          <w:sz w:val="20"/>
          <w:szCs w:val="20"/>
        </w:rPr>
        <w:t xml:space="preserve">This component provides geometric context only. The hemodynamic inference reported in the main text is lumped-parameter (0D) and does not consume the mesh, because the eICU and MIMIC-IV cohorts have no paired volumetric imaging.</w:t>
      </w:r>
    </w:p>
    <w:p>
      <w:pPr>
        <w:spacing w:after="100"/>
        <w:jc w:val="center"/>
      </w:pPr>
      <w:r>
        <w:drawing>
          <wp:inline distT="0" distB="0" distL="0" distR="0">
            <wp:extent cx="447675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476750" cy="3581400"/>
                    </a:xfrm>
                    <a:prstGeom prst="rect">
                      <a:avLst/>
                    </a:prstGeom>
                  </pic:spPr>
                </pic:pic>
              </a:graphicData>
            </a:graphic>
          </wp:inline>
        </w:drawing>
      </w:r>
    </w:p>
    <w:p>
      <w:pPr>
        <w:spacing w:after="220"/>
      </w:pPr>
      <w:r>
        <w:rPr>
          <w:b/>
          <w:bCs/>
          <w:sz w:val="18"/>
          <w:szCs w:val="18"/>
        </w:rPr>
        <w:t xml:space="preserve">Figure S1.</w:t>
      </w:r>
      <w:r>
        <w:rPr>
          <w:sz w:val="18"/>
          <w:szCs w:val="18"/>
        </w:rPr>
        <w:t xml:space="preserve"> Multi-structure cardiac anatomy. (A) Chamber-volume distributions across 20 MM-WHS cases. (B) LV wall-thickness histogram (Case 1009; mean 6.8 ± 2.1 mm). (C) Assembly inventory: 13 structures by source tier, totaling 957,608 triangles.</w:t>
      </w:r>
    </w:p>
    <w:p>
      <w:pPr>
        <w:pStyle w:val="Heading1"/>
        <w:spacing w:after="140" w:before="280"/>
      </w:pPr>
      <w:r>
        <w:t xml:space="preserve">S2. Model Performance and Anatomical Hierarchy</w:t>
      </w:r>
    </w:p>
    <w:p>
      <w:pPr>
        <w:spacing w:after="220"/>
      </w:pPr>
      <w:r>
        <w:rPr>
          <w:b/>
          <w:bCs/>
          <w:sz w:val="18"/>
          <w:szCs w:val="18"/>
        </w:rPr>
        <w:t xml:space="preserve">Table S1.</w:t>
      </w:r>
      <w:r>
        <w:rPr>
          <w:sz w:val="18"/>
          <w:szCs w:val="18"/>
        </w:rPr>
        <w:t xml:space="preserve"> pH-PINN performance across seven hemodynamic target parameters (single run, record-level evaluation). These values quantify how closely the network reproduces the surrogate relationships used to construct the targets; see main-text Section VI-A for why they are not independent measurement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1"/>
        <w:gridCol w:w="878"/>
        <w:gridCol w:w="1170"/>
        <w:gridCol w:w="1463"/>
        <w:gridCol w:w="1609"/>
        <w:gridCol w:w="1316"/>
        <w:gridCol w:w="1024"/>
      </w:tblGrid>
      <w:tr>
        <w:tc>
          <w:tcPr>
            <w:tcW w:type="dxa" w:w="1901"/>
            <w:shd w:fill="EEEEEE" w:val="clear"/>
          </w:tcPr>
          <w:p>
            <w:pPr>
              <w:spacing w:after="40" w:before="40"/>
            </w:pPr>
            <w:r>
              <w:rPr>
                <w:b/>
                <w:bCs/>
                <w:sz w:val="17"/>
                <w:szCs w:val="17"/>
              </w:rPr>
              <w:t xml:space="preserve">Parameter</w:t>
            </w:r>
          </w:p>
        </w:tc>
        <w:tc>
          <w:tcPr>
            <w:tcW w:type="dxa" w:w="878"/>
            <w:shd w:fill="EEEEEE" w:val="clear"/>
          </w:tcPr>
          <w:p>
            <w:pPr>
              <w:spacing w:after="40" w:before="40"/>
            </w:pPr>
            <w:r>
              <w:rPr>
                <w:b/>
                <w:bCs/>
                <w:sz w:val="17"/>
                <w:szCs w:val="17"/>
              </w:rPr>
              <w:t xml:space="preserve">R²</w:t>
            </w:r>
          </w:p>
        </w:tc>
        <w:tc>
          <w:tcPr>
            <w:tcW w:type="dxa" w:w="1170"/>
            <w:shd w:fill="EEEEEE" w:val="clear"/>
          </w:tcPr>
          <w:p>
            <w:pPr>
              <w:spacing w:after="40" w:before="40"/>
            </w:pPr>
            <w:r>
              <w:rPr>
                <w:b/>
                <w:bCs/>
                <w:sz w:val="17"/>
                <w:szCs w:val="17"/>
              </w:rPr>
              <w:t xml:space="preserve">Unit</w:t>
            </w:r>
          </w:p>
        </w:tc>
        <w:tc>
          <w:tcPr>
            <w:tcW w:type="dxa" w:w="1463"/>
            <w:shd w:fill="EEEEEE" w:val="clear"/>
          </w:tcPr>
          <w:p>
            <w:pPr>
              <w:spacing w:after="40" w:before="40"/>
            </w:pPr>
            <w:r>
              <w:rPr>
                <w:b/>
                <w:bCs/>
                <w:sz w:val="17"/>
                <w:szCs w:val="17"/>
              </w:rPr>
              <w:t xml:space="preserve">Normal range</w:t>
            </w:r>
          </w:p>
        </w:tc>
        <w:tc>
          <w:tcPr>
            <w:tcW w:type="dxa" w:w="1609"/>
            <w:shd w:fill="EEEEEE" w:val="clear"/>
          </w:tcPr>
          <w:p>
            <w:pPr>
              <w:spacing w:after="40" w:before="40"/>
            </w:pPr>
            <w:r>
              <w:rPr>
                <w:b/>
                <w:bCs/>
                <w:sz w:val="17"/>
                <w:szCs w:val="17"/>
              </w:rPr>
              <w:t xml:space="preserve">Clinical use</w:t>
            </w:r>
          </w:p>
        </w:tc>
        <w:tc>
          <w:tcPr>
            <w:tcW w:type="dxa" w:w="1316"/>
            <w:shd w:fill="EEEEEE" w:val="clear"/>
          </w:tcPr>
          <w:p>
            <w:pPr>
              <w:spacing w:after="40" w:before="40"/>
            </w:pPr>
            <w:r>
              <w:rPr>
                <w:b/>
                <w:bCs/>
                <w:sz w:val="17"/>
                <w:szCs w:val="17"/>
              </w:rPr>
              <w:t xml:space="preserve">Provenance</w:t>
            </w:r>
          </w:p>
        </w:tc>
        <w:tc>
          <w:tcPr>
            <w:tcW w:type="dxa" w:w="1024"/>
            <w:shd w:fill="EEEEEE" w:val="clear"/>
          </w:tcPr>
          <w:p>
            <w:pPr>
              <w:spacing w:after="40" w:before="40"/>
            </w:pPr>
            <w:r>
              <w:rPr>
                <w:b/>
                <w:bCs/>
                <w:sz w:val="17"/>
                <w:szCs w:val="17"/>
              </w:rPr>
              <w:t xml:space="preserve">Status</w:t>
            </w:r>
          </w:p>
        </w:tc>
      </w:tr>
      <w:tr>
        <w:tc>
          <w:tcPr>
            <w:tcW w:type="dxa" w:w="1901"/>
          </w:tcPr>
          <w:p>
            <w:pPr>
              <w:spacing w:after="40" w:before="40"/>
            </w:pPr>
            <w:r>
              <w:rPr>
                <w:b w:val="false"/>
                <w:bCs w:val="false"/>
                <w:sz w:val="17"/>
                <w:szCs w:val="17"/>
              </w:rPr>
              <w:t xml:space="preserve">E_es (elastance)</w:t>
            </w:r>
          </w:p>
        </w:tc>
        <w:tc>
          <w:tcPr>
            <w:tcW w:type="dxa" w:w="878"/>
          </w:tcPr>
          <w:p>
            <w:pPr>
              <w:spacing w:after="40" w:before="40"/>
            </w:pPr>
            <w:r>
              <w:rPr>
                <w:b w:val="false"/>
                <w:bCs w:val="false"/>
                <w:sz w:val="17"/>
                <w:szCs w:val="17"/>
              </w:rPr>
              <w:t xml:space="preserve">0.984</w:t>
            </w:r>
          </w:p>
        </w:tc>
        <w:tc>
          <w:tcPr>
            <w:tcW w:type="dxa" w:w="1170"/>
          </w:tcPr>
          <w:p>
            <w:pPr>
              <w:spacing w:after="40" w:before="40"/>
            </w:pPr>
            <w:r>
              <w:rPr>
                <w:b w:val="false"/>
                <w:bCs w:val="false"/>
                <w:sz w:val="17"/>
                <w:szCs w:val="17"/>
              </w:rPr>
              <w:t xml:space="preserve">mmHg/mL</w:t>
            </w:r>
          </w:p>
        </w:tc>
        <w:tc>
          <w:tcPr>
            <w:tcW w:type="dxa" w:w="1463"/>
          </w:tcPr>
          <w:p>
            <w:pPr>
              <w:spacing w:after="40" w:before="40"/>
            </w:pPr>
            <w:r>
              <w:rPr>
                <w:b w:val="false"/>
                <w:bCs w:val="false"/>
                <w:sz w:val="17"/>
                <w:szCs w:val="17"/>
              </w:rPr>
              <w:t xml:space="preserve">1.5–4.0</w:t>
            </w:r>
          </w:p>
        </w:tc>
        <w:tc>
          <w:tcPr>
            <w:tcW w:type="dxa" w:w="1609"/>
          </w:tcPr>
          <w:p>
            <w:pPr>
              <w:spacing w:after="40" w:before="40"/>
            </w:pPr>
            <w:r>
              <w:rPr>
                <w:b w:val="false"/>
                <w:bCs w:val="false"/>
                <w:sz w:val="17"/>
                <w:szCs w:val="17"/>
              </w:rPr>
              <w:t xml:space="preserve">LV contractility</w:t>
            </w:r>
          </w:p>
        </w:tc>
        <w:tc>
          <w:tcPr>
            <w:tcW w:type="dxa" w:w="1316"/>
          </w:tcPr>
          <w:p>
            <w:pPr>
              <w:spacing w:after="40" w:before="40"/>
            </w:pPr>
            <w:r>
              <w:rPr>
                <w:b w:val="false"/>
                <w:bCs w:val="false"/>
                <w:sz w:val="17"/>
                <w:szCs w:val="17"/>
              </w:rPr>
              <w:t xml:space="preserve">Surrogate</w:t>
            </w:r>
          </w:p>
        </w:tc>
        <w:tc>
          <w:tcPr>
            <w:tcW w:type="dxa" w:w="1024"/>
          </w:tcPr>
          <w:p>
            <w:pPr>
              <w:spacing w:after="40" w:before="40"/>
            </w:pPr>
            <w:r>
              <w:rPr>
                <w:b w:val="false"/>
                <w:bCs w:val="false"/>
                <w:sz w:val="17"/>
                <w:szCs w:val="17"/>
              </w:rPr>
              <w:t xml:space="preserve">Validated</w:t>
            </w:r>
          </w:p>
        </w:tc>
      </w:tr>
      <w:tr>
        <w:tc>
          <w:tcPr>
            <w:tcW w:type="dxa" w:w="1901"/>
          </w:tcPr>
          <w:p>
            <w:pPr>
              <w:spacing w:after="40" w:before="40"/>
            </w:pPr>
            <w:r>
              <w:rPr>
                <w:b w:val="false"/>
                <w:bCs w:val="false"/>
                <w:sz w:val="17"/>
                <w:szCs w:val="17"/>
              </w:rPr>
              <w:t xml:space="preserve">E_ed</w:t>
            </w:r>
          </w:p>
        </w:tc>
        <w:tc>
          <w:tcPr>
            <w:tcW w:type="dxa" w:w="878"/>
          </w:tcPr>
          <w:p>
            <w:pPr>
              <w:spacing w:after="40" w:before="40"/>
            </w:pPr>
            <w:r>
              <w:rPr>
                <w:b w:val="false"/>
                <w:bCs w:val="false"/>
                <w:sz w:val="17"/>
                <w:szCs w:val="17"/>
              </w:rPr>
              <w:t xml:space="preserve">0.991</w:t>
            </w:r>
          </w:p>
        </w:tc>
        <w:tc>
          <w:tcPr>
            <w:tcW w:type="dxa" w:w="1170"/>
          </w:tcPr>
          <w:p>
            <w:pPr>
              <w:spacing w:after="40" w:before="40"/>
            </w:pPr>
            <w:r>
              <w:rPr>
                <w:b w:val="false"/>
                <w:bCs w:val="false"/>
                <w:sz w:val="17"/>
                <w:szCs w:val="17"/>
              </w:rPr>
              <w:t xml:space="preserve">mmHg/mL</w:t>
            </w:r>
          </w:p>
        </w:tc>
        <w:tc>
          <w:tcPr>
            <w:tcW w:type="dxa" w:w="1463"/>
          </w:tcPr>
          <w:p>
            <w:pPr>
              <w:spacing w:after="40" w:before="40"/>
            </w:pPr>
            <w:r>
              <w:rPr>
                <w:b w:val="false"/>
                <w:bCs w:val="false"/>
                <w:sz w:val="17"/>
                <w:szCs w:val="17"/>
              </w:rPr>
              <w:t xml:space="preserve">0.03–0.1</w:t>
            </w:r>
          </w:p>
        </w:tc>
        <w:tc>
          <w:tcPr>
            <w:tcW w:type="dxa" w:w="1609"/>
          </w:tcPr>
          <w:p>
            <w:pPr>
              <w:spacing w:after="40" w:before="40"/>
            </w:pPr>
            <w:r>
              <w:rPr>
                <w:b w:val="false"/>
                <w:bCs w:val="false"/>
                <w:sz w:val="17"/>
                <w:szCs w:val="17"/>
              </w:rPr>
              <w:t xml:space="preserve">LV compliance</w:t>
            </w:r>
          </w:p>
        </w:tc>
        <w:tc>
          <w:tcPr>
            <w:tcW w:type="dxa" w:w="1316"/>
          </w:tcPr>
          <w:p>
            <w:pPr>
              <w:spacing w:after="40" w:before="40"/>
            </w:pPr>
            <w:r>
              <w:rPr>
                <w:b w:val="false"/>
                <w:bCs w:val="false"/>
                <w:sz w:val="17"/>
                <w:szCs w:val="17"/>
              </w:rPr>
              <w:t xml:space="preserve">Surrogate</w:t>
            </w:r>
          </w:p>
        </w:tc>
        <w:tc>
          <w:tcPr>
            <w:tcW w:type="dxa" w:w="1024"/>
          </w:tcPr>
          <w:p>
            <w:pPr>
              <w:spacing w:after="40" w:before="40"/>
            </w:pPr>
            <w:r>
              <w:rPr>
                <w:b w:val="false"/>
                <w:bCs w:val="false"/>
                <w:sz w:val="17"/>
                <w:szCs w:val="17"/>
              </w:rPr>
              <w:t xml:space="preserve">Validated</w:t>
            </w:r>
          </w:p>
        </w:tc>
      </w:tr>
      <w:tr>
        <w:tc>
          <w:tcPr>
            <w:tcW w:type="dxa" w:w="1901"/>
          </w:tcPr>
          <w:p>
            <w:pPr>
              <w:spacing w:after="40" w:before="40"/>
            </w:pPr>
            <w:r>
              <w:rPr>
                <w:b w:val="false"/>
                <w:bCs w:val="false"/>
                <w:sz w:val="17"/>
                <w:szCs w:val="17"/>
              </w:rPr>
              <w:t xml:space="preserve">E_a</w:t>
            </w:r>
          </w:p>
        </w:tc>
        <w:tc>
          <w:tcPr>
            <w:tcW w:type="dxa" w:w="878"/>
          </w:tcPr>
          <w:p>
            <w:pPr>
              <w:spacing w:after="40" w:before="40"/>
            </w:pPr>
            <w:r>
              <w:rPr>
                <w:b w:val="false"/>
                <w:bCs w:val="false"/>
                <w:sz w:val="17"/>
                <w:szCs w:val="17"/>
              </w:rPr>
              <w:t xml:space="preserve">0.978</w:t>
            </w:r>
          </w:p>
        </w:tc>
        <w:tc>
          <w:tcPr>
            <w:tcW w:type="dxa" w:w="1170"/>
          </w:tcPr>
          <w:p>
            <w:pPr>
              <w:spacing w:after="40" w:before="40"/>
            </w:pPr>
            <w:r>
              <w:rPr>
                <w:b w:val="false"/>
                <w:bCs w:val="false"/>
                <w:sz w:val="17"/>
                <w:szCs w:val="17"/>
              </w:rPr>
              <w:t xml:space="preserve">mmHg/mL</w:t>
            </w:r>
          </w:p>
        </w:tc>
        <w:tc>
          <w:tcPr>
            <w:tcW w:type="dxa" w:w="1463"/>
          </w:tcPr>
          <w:p>
            <w:pPr>
              <w:spacing w:after="40" w:before="40"/>
            </w:pPr>
            <w:r>
              <w:rPr>
                <w:b w:val="false"/>
                <w:bCs w:val="false"/>
                <w:sz w:val="17"/>
                <w:szCs w:val="17"/>
              </w:rPr>
              <w:t xml:space="preserve">1.0–3.0</w:t>
            </w:r>
          </w:p>
        </w:tc>
        <w:tc>
          <w:tcPr>
            <w:tcW w:type="dxa" w:w="1609"/>
          </w:tcPr>
          <w:p>
            <w:pPr>
              <w:spacing w:after="40" w:before="40"/>
            </w:pPr>
            <w:r>
              <w:rPr>
                <w:b w:val="false"/>
                <w:bCs w:val="false"/>
                <w:sz w:val="17"/>
                <w:szCs w:val="17"/>
              </w:rPr>
              <w:t xml:space="preserve">Afterload</w:t>
            </w:r>
          </w:p>
        </w:tc>
        <w:tc>
          <w:tcPr>
            <w:tcW w:type="dxa" w:w="1316"/>
          </w:tcPr>
          <w:p>
            <w:pPr>
              <w:spacing w:after="40" w:before="40"/>
            </w:pPr>
            <w:r>
              <w:rPr>
                <w:b w:val="false"/>
                <w:bCs w:val="false"/>
                <w:sz w:val="17"/>
                <w:szCs w:val="17"/>
              </w:rPr>
              <w:t xml:space="preserve">Surrogate</w:t>
            </w:r>
          </w:p>
        </w:tc>
        <w:tc>
          <w:tcPr>
            <w:tcW w:type="dxa" w:w="1024"/>
          </w:tcPr>
          <w:p>
            <w:pPr>
              <w:spacing w:after="40" w:before="40"/>
            </w:pPr>
            <w:r>
              <w:rPr>
                <w:b w:val="false"/>
                <w:bCs w:val="false"/>
                <w:sz w:val="17"/>
                <w:szCs w:val="17"/>
              </w:rPr>
              <w:t xml:space="preserve">Validated</w:t>
            </w:r>
          </w:p>
        </w:tc>
      </w:tr>
      <w:tr>
        <w:tc>
          <w:tcPr>
            <w:tcW w:type="dxa" w:w="1901"/>
          </w:tcPr>
          <w:p>
            <w:pPr>
              <w:spacing w:after="40" w:before="40"/>
            </w:pPr>
            <w:r>
              <w:rPr>
                <w:b w:val="false"/>
                <w:bCs w:val="false"/>
                <w:sz w:val="17"/>
                <w:szCs w:val="17"/>
              </w:rPr>
              <w:t xml:space="preserve">VA coupling</w:t>
            </w:r>
          </w:p>
        </w:tc>
        <w:tc>
          <w:tcPr>
            <w:tcW w:type="dxa" w:w="878"/>
          </w:tcPr>
          <w:p>
            <w:pPr>
              <w:spacing w:after="40" w:before="40"/>
            </w:pPr>
            <w:r>
              <w:rPr>
                <w:b w:val="false"/>
                <w:bCs w:val="false"/>
                <w:sz w:val="17"/>
                <w:szCs w:val="17"/>
              </w:rPr>
              <w:t xml:space="preserve">0.982</w:t>
            </w:r>
          </w:p>
        </w:tc>
        <w:tc>
          <w:tcPr>
            <w:tcW w:type="dxa" w:w="1170"/>
          </w:tcPr>
          <w:p>
            <w:pPr>
              <w:spacing w:after="40" w:before="40"/>
            </w:pPr>
            <w:r>
              <w:rPr>
                <w:b w:val="false"/>
                <w:bCs w:val="false"/>
                <w:sz w:val="17"/>
                <w:szCs w:val="17"/>
              </w:rPr>
              <w:t xml:space="preserve">ratio</w:t>
            </w:r>
          </w:p>
        </w:tc>
        <w:tc>
          <w:tcPr>
            <w:tcW w:type="dxa" w:w="1463"/>
          </w:tcPr>
          <w:p>
            <w:pPr>
              <w:spacing w:after="40" w:before="40"/>
            </w:pPr>
            <w:r>
              <w:rPr>
                <w:b w:val="false"/>
                <w:bCs w:val="false"/>
                <w:sz w:val="17"/>
                <w:szCs w:val="17"/>
              </w:rPr>
              <w:t xml:space="preserve">0.5–1.2</w:t>
            </w:r>
          </w:p>
        </w:tc>
        <w:tc>
          <w:tcPr>
            <w:tcW w:type="dxa" w:w="1609"/>
          </w:tcPr>
          <w:p>
            <w:pPr>
              <w:spacing w:after="40" w:before="40"/>
            </w:pPr>
            <w:r>
              <w:rPr>
                <w:b w:val="false"/>
                <w:bCs w:val="false"/>
                <w:sz w:val="17"/>
                <w:szCs w:val="17"/>
              </w:rPr>
              <w:t xml:space="preserve">Efficiency</w:t>
            </w:r>
          </w:p>
        </w:tc>
        <w:tc>
          <w:tcPr>
            <w:tcW w:type="dxa" w:w="1316"/>
          </w:tcPr>
          <w:p>
            <w:pPr>
              <w:spacing w:after="40" w:before="40"/>
            </w:pPr>
            <w:r>
              <w:rPr>
                <w:b w:val="false"/>
                <w:bCs w:val="false"/>
                <w:sz w:val="17"/>
                <w:szCs w:val="17"/>
              </w:rPr>
              <w:t xml:space="preserve">Surrogate</w:t>
            </w:r>
          </w:p>
        </w:tc>
        <w:tc>
          <w:tcPr>
            <w:tcW w:type="dxa" w:w="1024"/>
          </w:tcPr>
          <w:p>
            <w:pPr>
              <w:spacing w:after="40" w:before="40"/>
            </w:pPr>
            <w:r>
              <w:rPr>
                <w:b w:val="false"/>
                <w:bCs w:val="false"/>
                <w:sz w:val="17"/>
                <w:szCs w:val="17"/>
              </w:rPr>
              <w:t xml:space="preserve">Validated</w:t>
            </w:r>
          </w:p>
        </w:tc>
      </w:tr>
      <w:tr>
        <w:tc>
          <w:tcPr>
            <w:tcW w:type="dxa" w:w="1901"/>
          </w:tcPr>
          <w:p>
            <w:pPr>
              <w:spacing w:after="40" w:before="40"/>
            </w:pPr>
            <w:r>
              <w:rPr>
                <w:b w:val="false"/>
                <w:bCs w:val="false"/>
                <w:sz w:val="17"/>
                <w:szCs w:val="17"/>
              </w:rPr>
              <w:t xml:space="preserve">EDP</w:t>
            </w:r>
          </w:p>
        </w:tc>
        <w:tc>
          <w:tcPr>
            <w:tcW w:type="dxa" w:w="878"/>
          </w:tcPr>
          <w:p>
            <w:pPr>
              <w:spacing w:after="40" w:before="40"/>
            </w:pPr>
            <w:r>
              <w:rPr>
                <w:b w:val="false"/>
                <w:bCs w:val="false"/>
                <w:sz w:val="17"/>
                <w:szCs w:val="17"/>
              </w:rPr>
              <w:t xml:space="preserve">0.957</w:t>
            </w:r>
          </w:p>
        </w:tc>
        <w:tc>
          <w:tcPr>
            <w:tcW w:type="dxa" w:w="1170"/>
          </w:tcPr>
          <w:p>
            <w:pPr>
              <w:spacing w:after="40" w:before="40"/>
            </w:pPr>
            <w:r>
              <w:rPr>
                <w:b w:val="false"/>
                <w:bCs w:val="false"/>
                <w:sz w:val="17"/>
                <w:szCs w:val="17"/>
              </w:rPr>
              <w:t xml:space="preserve">mmHg</w:t>
            </w:r>
          </w:p>
        </w:tc>
        <w:tc>
          <w:tcPr>
            <w:tcW w:type="dxa" w:w="1463"/>
          </w:tcPr>
          <w:p>
            <w:pPr>
              <w:spacing w:after="40" w:before="40"/>
            </w:pPr>
            <w:r>
              <w:rPr>
                <w:b w:val="false"/>
                <w:bCs w:val="false"/>
                <w:sz w:val="17"/>
                <w:szCs w:val="17"/>
              </w:rPr>
              <w:t xml:space="preserve">5–20</w:t>
            </w:r>
          </w:p>
        </w:tc>
        <w:tc>
          <w:tcPr>
            <w:tcW w:type="dxa" w:w="1609"/>
          </w:tcPr>
          <w:p>
            <w:pPr>
              <w:spacing w:after="40" w:before="40"/>
            </w:pPr>
            <w:r>
              <w:rPr>
                <w:b w:val="false"/>
                <w:bCs w:val="false"/>
                <w:sz w:val="17"/>
                <w:szCs w:val="17"/>
              </w:rPr>
              <w:t xml:space="preserve">Preload</w:t>
            </w:r>
          </w:p>
        </w:tc>
        <w:tc>
          <w:tcPr>
            <w:tcW w:type="dxa" w:w="1316"/>
          </w:tcPr>
          <w:p>
            <w:pPr>
              <w:spacing w:after="40" w:before="40"/>
            </w:pPr>
            <w:r>
              <w:rPr>
                <w:b w:val="false"/>
                <w:bCs w:val="false"/>
                <w:sz w:val="17"/>
                <w:szCs w:val="17"/>
              </w:rPr>
              <w:t xml:space="preserve">Direct †</w:t>
            </w:r>
          </w:p>
        </w:tc>
        <w:tc>
          <w:tcPr>
            <w:tcW w:type="dxa" w:w="1024"/>
          </w:tcPr>
          <w:p>
            <w:pPr>
              <w:spacing w:after="40" w:before="40"/>
            </w:pPr>
            <w:r>
              <w:rPr>
                <w:b w:val="false"/>
                <w:bCs w:val="false"/>
                <w:sz w:val="17"/>
                <w:szCs w:val="17"/>
              </w:rPr>
              <w:t xml:space="preserve">Validated</w:t>
            </w:r>
          </w:p>
        </w:tc>
      </w:tr>
      <w:tr>
        <w:tc>
          <w:tcPr>
            <w:tcW w:type="dxa" w:w="1901"/>
          </w:tcPr>
          <w:p>
            <w:pPr>
              <w:spacing w:after="40" w:before="40"/>
            </w:pPr>
            <w:r>
              <w:rPr>
                <w:b w:val="false"/>
                <w:bCs w:val="false"/>
                <w:sz w:val="17"/>
                <w:szCs w:val="17"/>
              </w:rPr>
              <w:t xml:space="preserve">Mech. efficiency</w:t>
            </w:r>
          </w:p>
        </w:tc>
        <w:tc>
          <w:tcPr>
            <w:tcW w:type="dxa" w:w="878"/>
          </w:tcPr>
          <w:p>
            <w:pPr>
              <w:spacing w:after="40" w:before="40"/>
            </w:pPr>
            <w:r>
              <w:rPr>
                <w:b w:val="false"/>
                <w:bCs w:val="false"/>
                <w:sz w:val="17"/>
                <w:szCs w:val="17"/>
              </w:rPr>
              <w:t xml:space="preserve">0.982</w:t>
            </w:r>
          </w:p>
        </w:tc>
        <w:tc>
          <w:tcPr>
            <w:tcW w:type="dxa" w:w="1170"/>
          </w:tcPr>
          <w:p>
            <w:pPr>
              <w:spacing w:after="40" w:before="40"/>
            </w:pPr>
            <w:r>
              <w:rPr>
                <w:b w:val="false"/>
                <w:bCs w:val="false"/>
                <w:sz w:val="17"/>
                <w:szCs w:val="17"/>
              </w:rPr>
              <w:t xml:space="preserve">%</w:t>
            </w:r>
          </w:p>
        </w:tc>
        <w:tc>
          <w:tcPr>
            <w:tcW w:type="dxa" w:w="1463"/>
          </w:tcPr>
          <w:p>
            <w:pPr>
              <w:spacing w:after="40" w:before="40"/>
            </w:pPr>
            <w:r>
              <w:rPr>
                <w:b w:val="false"/>
                <w:bCs w:val="false"/>
                <w:sz w:val="17"/>
                <w:szCs w:val="17"/>
              </w:rPr>
              <w:t xml:space="preserve">50–80 *</w:t>
            </w:r>
          </w:p>
        </w:tc>
        <w:tc>
          <w:tcPr>
            <w:tcW w:type="dxa" w:w="1609"/>
          </w:tcPr>
          <w:p>
            <w:pPr>
              <w:spacing w:after="40" w:before="40"/>
            </w:pPr>
            <w:r>
              <w:rPr>
                <w:b w:val="false"/>
                <w:bCs w:val="false"/>
                <w:sz w:val="17"/>
                <w:szCs w:val="17"/>
              </w:rPr>
              <w:t xml:space="preserve">Energetics</w:t>
            </w:r>
          </w:p>
        </w:tc>
        <w:tc>
          <w:tcPr>
            <w:tcW w:type="dxa" w:w="1316"/>
          </w:tcPr>
          <w:p>
            <w:pPr>
              <w:spacing w:after="40" w:before="40"/>
            </w:pPr>
            <w:r>
              <w:rPr>
                <w:b w:val="false"/>
                <w:bCs w:val="false"/>
                <w:sz w:val="17"/>
                <w:szCs w:val="17"/>
              </w:rPr>
              <w:t xml:space="preserve">Surrogate</w:t>
            </w:r>
          </w:p>
        </w:tc>
        <w:tc>
          <w:tcPr>
            <w:tcW w:type="dxa" w:w="1024"/>
          </w:tcPr>
          <w:p>
            <w:pPr>
              <w:spacing w:after="40" w:before="40"/>
            </w:pPr>
            <w:r>
              <w:rPr>
                <w:b w:val="false"/>
                <w:bCs w:val="false"/>
                <w:sz w:val="17"/>
                <w:szCs w:val="17"/>
              </w:rPr>
              <w:t xml:space="preserve">Validated</w:t>
            </w:r>
          </w:p>
        </w:tc>
      </w:tr>
      <w:tr>
        <w:tc>
          <w:tcPr>
            <w:tcW w:type="dxa" w:w="1901"/>
          </w:tcPr>
          <w:p>
            <w:pPr>
              <w:spacing w:after="40" w:before="40"/>
            </w:pPr>
            <w:r>
              <w:rPr>
                <w:b w:val="false"/>
                <w:bCs w:val="false"/>
                <w:sz w:val="17"/>
                <w:szCs w:val="17"/>
              </w:rPr>
              <w:t xml:space="preserve">τ (tau)</w:t>
            </w:r>
          </w:p>
        </w:tc>
        <w:tc>
          <w:tcPr>
            <w:tcW w:type="dxa" w:w="878"/>
          </w:tcPr>
          <w:p>
            <w:pPr>
              <w:spacing w:after="40" w:before="40"/>
            </w:pPr>
            <w:r>
              <w:rPr>
                <w:b w:val="false"/>
                <w:bCs w:val="false"/>
                <w:sz w:val="17"/>
                <w:szCs w:val="17"/>
              </w:rPr>
              <w:t xml:space="preserve">0.983</w:t>
            </w:r>
          </w:p>
        </w:tc>
        <w:tc>
          <w:tcPr>
            <w:tcW w:type="dxa" w:w="1170"/>
          </w:tcPr>
          <w:p>
            <w:pPr>
              <w:spacing w:after="40" w:before="40"/>
            </w:pPr>
            <w:r>
              <w:rPr>
                <w:b w:val="false"/>
                <w:bCs w:val="false"/>
                <w:sz w:val="17"/>
                <w:szCs w:val="17"/>
              </w:rPr>
              <w:t xml:space="preserve">ms</w:t>
            </w:r>
          </w:p>
        </w:tc>
        <w:tc>
          <w:tcPr>
            <w:tcW w:type="dxa" w:w="1463"/>
          </w:tcPr>
          <w:p>
            <w:pPr>
              <w:spacing w:after="40" w:before="40"/>
            </w:pPr>
            <w:r>
              <w:rPr>
                <w:b w:val="false"/>
                <w:bCs w:val="false"/>
                <w:sz w:val="17"/>
                <w:szCs w:val="17"/>
              </w:rPr>
              <w:t xml:space="preserve">30–60</w:t>
            </w:r>
          </w:p>
        </w:tc>
        <w:tc>
          <w:tcPr>
            <w:tcW w:type="dxa" w:w="1609"/>
          </w:tcPr>
          <w:p>
            <w:pPr>
              <w:spacing w:after="40" w:before="40"/>
            </w:pPr>
            <w:r>
              <w:rPr>
                <w:b w:val="false"/>
                <w:bCs w:val="false"/>
                <w:sz w:val="17"/>
                <w:szCs w:val="17"/>
              </w:rPr>
              <w:t xml:space="preserve">Relaxation</w:t>
            </w:r>
          </w:p>
        </w:tc>
        <w:tc>
          <w:tcPr>
            <w:tcW w:type="dxa" w:w="1316"/>
          </w:tcPr>
          <w:p>
            <w:pPr>
              <w:spacing w:after="40" w:before="40"/>
            </w:pPr>
            <w:r>
              <w:rPr>
                <w:b w:val="false"/>
                <w:bCs w:val="false"/>
                <w:sz w:val="17"/>
                <w:szCs w:val="17"/>
              </w:rPr>
              <w:t xml:space="preserve">Surrogate</w:t>
            </w:r>
          </w:p>
        </w:tc>
        <w:tc>
          <w:tcPr>
            <w:tcW w:type="dxa" w:w="1024"/>
          </w:tcPr>
          <w:p>
            <w:pPr>
              <w:spacing w:after="40" w:before="40"/>
            </w:pPr>
            <w:r>
              <w:rPr>
                <w:b w:val="false"/>
                <w:bCs w:val="false"/>
                <w:sz w:val="17"/>
                <w:szCs w:val="17"/>
              </w:rPr>
              <w:t xml:space="preserve">Validated</w:t>
            </w:r>
          </w:p>
        </w:tc>
      </w:tr>
    </w:tbl>
    <w:p>
      <w:pPr>
        <w:spacing w:after="120"/>
      </w:pPr>
      <w:r>
        <w:rPr>
          <w:sz w:val="17"/>
          <w:szCs w:val="17"/>
        </w:rPr>
        <w:t xml:space="preserve">* PVA-based gross efficiency (SW/PVA = 77.8%) per Suga–Sagawa; net efficiency after port-Hamiltonian dissipation, (SW − E_diss)/PVA = 71.9%. † PAWP used as a surrogate for EDP in the ICU databases.</w:t>
      </w:r>
    </w:p>
    <w:p>
      <w:pPr>
        <w:spacing w:after="220"/>
      </w:pPr>
      <w:r>
        <w:rPr>
          <w:b/>
          <w:bCs/>
          <w:sz w:val="18"/>
          <w:szCs w:val="18"/>
        </w:rPr>
        <w:t xml:space="preserve">Table S2.</w:t>
      </w:r>
      <w:r>
        <w:rPr>
          <w:sz w:val="18"/>
          <w:szCs w:val="18"/>
        </w:rPr>
        <w:t xml:space="preserve"> Three-tier patient-specificity hierarchy for anatomical reconstruction.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41"/>
        <w:gridCol w:w="2302"/>
        <w:gridCol w:w="2609"/>
        <w:gridCol w:w="1228"/>
        <w:gridCol w:w="1381"/>
      </w:tblGrid>
      <w:tr>
        <w:tc>
          <w:tcPr>
            <w:tcW w:type="dxa" w:w="1841"/>
            <w:shd w:fill="EEEEEE" w:val="clear"/>
          </w:tcPr>
          <w:p>
            <w:pPr>
              <w:spacing w:after="40" w:before="40"/>
            </w:pPr>
            <w:r>
              <w:rPr>
                <w:b/>
                <w:bCs/>
                <w:sz w:val="17"/>
                <w:szCs w:val="17"/>
              </w:rPr>
              <w:t xml:space="preserve">Tier</w:t>
            </w:r>
          </w:p>
        </w:tc>
        <w:tc>
          <w:tcPr>
            <w:tcW w:type="dxa" w:w="2302"/>
            <w:shd w:fill="EEEEEE" w:val="clear"/>
          </w:tcPr>
          <w:p>
            <w:pPr>
              <w:spacing w:after="40" w:before="40"/>
            </w:pPr>
            <w:r>
              <w:rPr>
                <w:b/>
                <w:bCs/>
                <w:sz w:val="17"/>
                <w:szCs w:val="17"/>
              </w:rPr>
              <w:t xml:space="preserve">Structures</w:t>
            </w:r>
          </w:p>
        </w:tc>
        <w:tc>
          <w:tcPr>
            <w:tcW w:type="dxa" w:w="2609"/>
            <w:shd w:fill="EEEEEE" w:val="clear"/>
          </w:tcPr>
          <w:p>
            <w:pPr>
              <w:spacing w:after="40" w:before="40"/>
            </w:pPr>
            <w:r>
              <w:rPr>
                <w:b/>
                <w:bCs/>
                <w:sz w:val="17"/>
                <w:szCs w:val="17"/>
              </w:rPr>
              <w:t xml:space="preserve">Source</w:t>
            </w:r>
          </w:p>
        </w:tc>
        <w:tc>
          <w:tcPr>
            <w:tcW w:type="dxa" w:w="1228"/>
            <w:shd w:fill="EEEEEE" w:val="clear"/>
          </w:tcPr>
          <w:p>
            <w:pPr>
              <w:spacing w:after="40" w:before="40"/>
            </w:pPr>
            <w:r>
              <w:rPr>
                <w:b/>
                <w:bCs/>
                <w:sz w:val="17"/>
                <w:szCs w:val="17"/>
              </w:rPr>
              <w:t xml:space="preserve">Elements</w:t>
            </w:r>
          </w:p>
        </w:tc>
        <w:tc>
          <w:tcPr>
            <w:tcW w:type="dxa" w:w="1381"/>
            <w:shd w:fill="EEEEEE" w:val="clear"/>
          </w:tcPr>
          <w:p>
            <w:pPr>
              <w:spacing w:after="40" w:before="40"/>
            </w:pPr>
            <w:r>
              <w:rPr>
                <w:b/>
                <w:bCs/>
                <w:sz w:val="17"/>
                <w:szCs w:val="17"/>
              </w:rPr>
              <w:t xml:space="preserve">Specificity</w:t>
            </w:r>
          </w:p>
        </w:tc>
      </w:tr>
      <w:tr>
        <w:tc>
          <w:tcPr>
            <w:tcW w:type="dxa" w:w="1841"/>
          </w:tcPr>
          <w:p>
            <w:pPr>
              <w:spacing w:after="40" w:before="40"/>
            </w:pPr>
            <w:r>
              <w:rPr>
                <w:b w:val="false"/>
                <w:bCs w:val="false"/>
                <w:sz w:val="17"/>
                <w:szCs w:val="17"/>
              </w:rPr>
              <w:t xml:space="preserve">1: Patient-specific</w:t>
            </w:r>
          </w:p>
        </w:tc>
        <w:tc>
          <w:tcPr>
            <w:tcW w:type="dxa" w:w="2302"/>
          </w:tcPr>
          <w:p>
            <w:pPr>
              <w:spacing w:after="40" w:before="40"/>
            </w:pPr>
            <w:r>
              <w:rPr>
                <w:b w:val="false"/>
                <w:bCs w:val="false"/>
                <w:sz w:val="17"/>
                <w:szCs w:val="17"/>
              </w:rPr>
              <w:t xml:space="preserve">LV surface</w:t>
            </w:r>
          </w:p>
        </w:tc>
        <w:tc>
          <w:tcPr>
            <w:tcW w:type="dxa" w:w="2609"/>
          </w:tcPr>
          <w:p>
            <w:pPr>
              <w:spacing w:after="40" w:before="40"/>
            </w:pPr>
            <w:r>
              <w:rPr>
                <w:b w:val="false"/>
                <w:bCs w:val="false"/>
                <w:sz w:val="17"/>
                <w:szCs w:val="17"/>
              </w:rPr>
              <w:t xml:space="preserve">Direct CT segmentation (MM-WHS)</w:t>
            </w:r>
          </w:p>
        </w:tc>
        <w:tc>
          <w:tcPr>
            <w:tcW w:type="dxa" w:w="1228"/>
          </w:tcPr>
          <w:p>
            <w:pPr>
              <w:spacing w:after="40" w:before="40"/>
            </w:pPr>
            <w:r>
              <w:rPr>
                <w:b w:val="false"/>
                <w:bCs w:val="false"/>
                <w:sz w:val="17"/>
                <w:szCs w:val="17"/>
              </w:rPr>
              <w:t xml:space="preserve">166,936</w:t>
            </w:r>
          </w:p>
        </w:tc>
        <w:tc>
          <w:tcPr>
            <w:tcW w:type="dxa" w:w="1381"/>
          </w:tcPr>
          <w:p>
            <w:pPr>
              <w:spacing w:after="40" w:before="40"/>
            </w:pPr>
            <w:r>
              <w:rPr>
                <w:b w:val="false"/>
                <w:bCs w:val="false"/>
                <w:sz w:val="17"/>
                <w:szCs w:val="17"/>
              </w:rPr>
              <w:t xml:space="preserve">High</w:t>
            </w:r>
          </w:p>
        </w:tc>
      </w:tr>
      <w:tr>
        <w:tc>
          <w:tcPr>
            <w:tcW w:type="dxa" w:w="1841"/>
          </w:tcPr>
          <w:p>
            <w:pPr>
              <w:spacing w:after="40" w:before="40"/>
            </w:pPr>
            <w:r>
              <w:rPr>
                <w:b w:val="false"/>
                <w:bCs w:val="false"/>
                <w:sz w:val="17"/>
                <w:szCs w:val="17"/>
              </w:rPr>
              <w:t xml:space="preserve">2: Patient-adapted</w:t>
            </w:r>
          </w:p>
        </w:tc>
        <w:tc>
          <w:tcPr>
            <w:tcW w:type="dxa" w:w="2302"/>
          </w:tcPr>
          <w:p>
            <w:pPr>
              <w:spacing w:after="40" w:before="40"/>
            </w:pPr>
            <w:r>
              <w:rPr>
                <w:b w:val="false"/>
                <w:bCs w:val="false"/>
                <w:sz w:val="17"/>
                <w:szCs w:val="17"/>
              </w:rPr>
              <w:t xml:space="preserve">Papillary muscles, wall thickness</w:t>
            </w:r>
          </w:p>
        </w:tc>
        <w:tc>
          <w:tcPr>
            <w:tcW w:type="dxa" w:w="2609"/>
          </w:tcPr>
          <w:p>
            <w:pPr>
              <w:spacing w:after="40" w:before="40"/>
            </w:pPr>
            <w:r>
              <w:rPr>
                <w:b w:val="false"/>
                <w:bCs w:val="false"/>
                <w:sz w:val="17"/>
                <w:szCs w:val="17"/>
              </w:rPr>
              <w:t xml:space="preserve">K-means from patient CT + thickness map</w:t>
            </w:r>
          </w:p>
        </w:tc>
        <w:tc>
          <w:tcPr>
            <w:tcW w:type="dxa" w:w="1228"/>
          </w:tcPr>
          <w:p>
            <w:pPr>
              <w:spacing w:after="40" w:before="40"/>
            </w:pPr>
            <w:r>
              <w:rPr>
                <w:b w:val="false"/>
                <w:bCs w:val="false"/>
                <w:sz w:val="17"/>
                <w:szCs w:val="17"/>
              </w:rPr>
              <w:t xml:space="preserve">253,920</w:t>
            </w:r>
          </w:p>
        </w:tc>
        <w:tc>
          <w:tcPr>
            <w:tcW w:type="dxa" w:w="1381"/>
          </w:tcPr>
          <w:p>
            <w:pPr>
              <w:spacing w:after="40" w:before="40"/>
            </w:pPr>
            <w:r>
              <w:rPr>
                <w:b w:val="false"/>
                <w:bCs w:val="false"/>
                <w:sz w:val="17"/>
                <w:szCs w:val="17"/>
              </w:rPr>
              <w:t xml:space="preserve">Medium</w:t>
            </w:r>
          </w:p>
        </w:tc>
      </w:tr>
      <w:tr>
        <w:tc>
          <w:tcPr>
            <w:tcW w:type="dxa" w:w="1841"/>
          </w:tcPr>
          <w:p>
            <w:pPr>
              <w:spacing w:after="40" w:before="40"/>
            </w:pPr>
            <w:r>
              <w:rPr>
                <w:b w:val="false"/>
                <w:bCs w:val="false"/>
                <w:sz w:val="17"/>
                <w:szCs w:val="17"/>
              </w:rPr>
              <w:t xml:space="preserve">3: Atlas-registered</w:t>
            </w:r>
          </w:p>
        </w:tc>
        <w:tc>
          <w:tcPr>
            <w:tcW w:type="dxa" w:w="2302"/>
          </w:tcPr>
          <w:p>
            <w:pPr>
              <w:spacing w:after="40" w:before="40"/>
            </w:pPr>
            <w:r>
              <w:rPr>
                <w:b w:val="false"/>
                <w:bCs w:val="false"/>
                <w:sz w:val="17"/>
                <w:szCs w:val="17"/>
              </w:rPr>
              <w:t xml:space="preserve">RV, RA, LAA, coronary, PA, PV</w:t>
            </w:r>
          </w:p>
        </w:tc>
        <w:tc>
          <w:tcPr>
            <w:tcW w:type="dxa" w:w="2609"/>
          </w:tcPr>
          <w:p>
            <w:pPr>
              <w:spacing w:after="40" w:before="40"/>
            </w:pPr>
            <w:r>
              <w:rPr>
                <w:b w:val="false"/>
                <w:bCs w:val="false"/>
                <w:sz w:val="17"/>
                <w:szCs w:val="17"/>
              </w:rPr>
              <w:t xml:space="preserve">STACOM2025 atlas + ICP registration</w:t>
            </w:r>
          </w:p>
        </w:tc>
        <w:tc>
          <w:tcPr>
            <w:tcW w:type="dxa" w:w="1228"/>
          </w:tcPr>
          <w:p>
            <w:pPr>
              <w:spacing w:after="40" w:before="40"/>
            </w:pPr>
            <w:r>
              <w:rPr>
                <w:b w:val="false"/>
                <w:bCs w:val="false"/>
                <w:sz w:val="17"/>
                <w:szCs w:val="17"/>
              </w:rPr>
              <w:t xml:space="preserve">~500,000</w:t>
            </w:r>
          </w:p>
        </w:tc>
        <w:tc>
          <w:tcPr>
            <w:tcW w:type="dxa" w:w="1381"/>
          </w:tcPr>
          <w:p>
            <w:pPr>
              <w:spacing w:after="40" w:before="40"/>
            </w:pPr>
            <w:r>
              <w:rPr>
                <w:b w:val="false"/>
                <w:bCs w:val="false"/>
                <w:sz w:val="17"/>
                <w:szCs w:val="17"/>
              </w:rPr>
              <w:t xml:space="preserve">Low–medium</w:t>
            </w:r>
          </w:p>
        </w:tc>
      </w:tr>
      <w:tr>
        <w:tc>
          <w:tcPr>
            <w:tcW w:type="dxa" w:w="1841"/>
          </w:tcPr>
          <w:p>
            <w:pPr>
              <w:spacing w:after="40" w:before="40"/>
            </w:pPr>
            <w:r>
              <w:rPr>
                <w:b w:val="false"/>
                <w:bCs w:val="false"/>
                <w:sz w:val="17"/>
                <w:szCs w:val="17"/>
              </w:rPr>
              <w:t xml:space="preserve">Parametric</w:t>
            </w:r>
          </w:p>
        </w:tc>
        <w:tc>
          <w:tcPr>
            <w:tcW w:type="dxa" w:w="2302"/>
          </w:tcPr>
          <w:p>
            <w:pPr>
              <w:spacing w:after="40" w:before="40"/>
            </w:pPr>
            <w:r>
              <w:rPr>
                <w:b w:val="false"/>
                <w:bCs w:val="false"/>
                <w:sz w:val="17"/>
                <w:szCs w:val="17"/>
              </w:rPr>
              <w:t xml:space="preserve">MV, AV, chordae</w:t>
            </w:r>
          </w:p>
        </w:tc>
        <w:tc>
          <w:tcPr>
            <w:tcW w:type="dxa" w:w="2609"/>
          </w:tcPr>
          <w:p>
            <w:pPr>
              <w:spacing w:after="40" w:before="40"/>
            </w:pPr>
            <w:r>
              <w:rPr>
                <w:b w:val="false"/>
                <w:bCs w:val="false"/>
                <w:sz w:val="17"/>
                <w:szCs w:val="17"/>
              </w:rPr>
              <w:t xml:space="preserve">Literature-based dimensions</w:t>
            </w:r>
          </w:p>
        </w:tc>
        <w:tc>
          <w:tcPr>
            <w:tcW w:type="dxa" w:w="1228"/>
          </w:tcPr>
          <w:p>
            <w:pPr>
              <w:spacing w:after="40" w:before="40"/>
            </w:pPr>
            <w:r>
              <w:rPr>
                <w:b w:val="false"/>
                <w:bCs w:val="false"/>
                <w:sz w:val="17"/>
                <w:szCs w:val="17"/>
              </w:rPr>
              <w:t xml:space="preserve">~37,000</w:t>
            </w:r>
          </w:p>
        </w:tc>
        <w:tc>
          <w:tcPr>
            <w:tcW w:type="dxa" w:w="1381"/>
          </w:tcPr>
          <w:p>
            <w:pPr>
              <w:spacing w:after="40" w:before="40"/>
            </w:pPr>
            <w:r>
              <w:rPr>
                <w:b w:val="false"/>
                <w:bCs w:val="false"/>
                <w:sz w:val="17"/>
                <w:szCs w:val="17"/>
              </w:rPr>
              <w:t xml:space="preserve">Population</w:t>
            </w:r>
          </w:p>
        </w:tc>
      </w:tr>
    </w:tbl>
    <w:p>
      <w:pPr>
        <w:spacing w:after="120"/>
      </w:pPr>
      <w:r>
        <w:rPr>
          <w:sz w:val="17"/>
          <w:szCs w:val="17"/>
        </w:rPr>
        <w:t xml:space="preserve">ICP registration distances for Tier-3 structures were 0.35–0.58 against a target of &lt; 0.15; see main-text Limitations.</w:t>
      </w:r>
    </w:p>
    <w:p>
      <w:pPr>
        <w:pStyle w:val="Heading1"/>
        <w:spacing w:after="140" w:before="280"/>
      </w:pPr>
      <w:r>
        <w:t xml:space="preserve">S3. pH-PINN Architecture and Inputs</w:t>
      </w:r>
    </w:p>
    <w:p>
      <w:pPr>
        <w:spacing w:after="120"/>
      </w:pPr>
      <w:r>
        <w:rPr>
          <w:sz w:val="20"/>
          <w:szCs w:val="20"/>
        </w:rPr>
        <w:t xml:space="preserve">The network maps an 11-dimensional non-invasive feature vector (EF, EDV, ESV, SBP, DBP, HR, E/e′, LAVI, E/A, deceleration time, CO) to the state x = (q, p) ∈ ℝ⁵ with q = (V_LV, V_LA, V_art) and p = (p_mv, p_ao), together with the auxiliary parameters (E_es, E_ed, V_0, τ) and the energetic quantities. Inference is per-beat: time is not an input, no trajectory is integrated, and all derivatives are taken with respect to the state.</w:t>
      </w:r>
    </w:p>
    <w:p>
      <w:pPr>
        <w:spacing w:after="120"/>
      </w:pPr>
      <w:r>
        <w:rPr>
          <w:sz w:val="20"/>
          <w:szCs w:val="20"/>
        </w:rPr>
        <w:t xml:space="preserve">Energy structure is imposed architecturally. Kinetic and potential energy heads pass through softplus, so T ≥ 0 and V ≥ 0 for every input; the Hamiltonian is formed as H = T + V rather than predicted separately; and the dissipation matrix is emitted in Cholesky form R = LLᵀ, which is positive semidefinite by construction. Consequently the passivity inequality dH/dt ≤ yᵀu holds pointwise, without a penalty term and without reliance on the training distribution.</w:t>
      </w:r>
    </w:p>
    <w:p>
      <w:pPr>
        <w:spacing w:after="100"/>
        <w:jc w:val="center"/>
      </w:pPr>
      <w:r>
        <w:drawing>
          <wp:inline distT="0" distB="0" distL="0" distR="0">
            <wp:extent cx="447675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2857500"/>
                    </a:xfrm>
                    <a:prstGeom prst="rect">
                      <a:avLst/>
                    </a:prstGeom>
                  </pic:spPr>
                </pic:pic>
              </a:graphicData>
            </a:graphic>
          </wp:inline>
        </w:drawing>
      </w:r>
    </w:p>
    <w:p>
      <w:pPr>
        <w:spacing w:after="220"/>
      </w:pPr>
      <w:r>
        <w:rPr>
          <w:b/>
          <w:bCs/>
          <w:sz w:val="18"/>
          <w:szCs w:val="18"/>
        </w:rPr>
        <w:t xml:space="preserve">Figure S2.</w:t>
      </w:r>
      <w:r>
        <w:rPr>
          <w:sz w:val="18"/>
          <w:szCs w:val="18"/>
        </w:rPr>
        <w:t xml:space="preserve"> pH-PINN architecture. Shared encoder, per-head decoders with softplus non-negativity on T and V, algebraic composition H = T + V, and Cholesky-parameterized dissipation R = LLᵀ.</w:t>
      </w:r>
    </w:p>
    <w:p>
      <w:pPr>
        <w:pStyle w:val="Heading1"/>
        <w:spacing w:after="140" w:before="280"/>
      </w:pPr>
      <w:r>
        <w:t xml:space="preserve">S4. Training Convergence and Cross-Database Validation</w:t>
      </w:r>
    </w:p>
    <w:p>
      <w:pPr>
        <w:spacing w:after="120"/>
      </w:pPr>
      <w:r>
        <w:rPr>
          <w:sz w:val="20"/>
          <w:szCs w:val="20"/>
        </w:rPr>
        <w:t xml:space="preserve">The following two figures were moved from the main text to meet the page limit; they are referenced there as Fig. S3 and Fig. S4.</w:t>
      </w:r>
    </w:p>
    <w:p>
      <w:pPr>
        <w:spacing w:after="100"/>
        <w:jc w:val="center"/>
      </w:pPr>
      <w:r>
        <w:drawing>
          <wp:inline distT="0" distB="0" distL="0" distR="0">
            <wp:extent cx="4476750" cy="144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1447800"/>
                    </a:xfrm>
                    <a:prstGeom prst="rect">
                      <a:avLst/>
                    </a:prstGeom>
                  </pic:spPr>
                </pic:pic>
              </a:graphicData>
            </a:graphic>
          </wp:inline>
        </w:drawing>
      </w:r>
    </w:p>
    <w:p>
      <w:pPr>
        <w:spacing w:after="220"/>
      </w:pPr>
      <w:r>
        <w:rPr>
          <w:b/>
          <w:bCs/>
          <w:sz w:val="18"/>
          <w:szCs w:val="18"/>
        </w:rPr>
        <w:t xml:space="preserve">Figure S3.</w:t>
      </w:r>
      <w:r>
        <w:rPr>
          <w:sz w:val="18"/>
          <w:szCs w:val="18"/>
        </w:rPr>
        <w:t xml:space="preserve"> pH-PINN training convergence. (A) Training and validation loss over 150 epochs (log scale). (B) R² convergence for cardiac output (green) and E_es (purple). (C) Hamiltonian partition consistency error ‖H − (T + V)‖², which remains at float32 rounding level (~3 × 10⁻¹⁵) because H = T + V holds by construction; no non-PSD dissipation matrices occurred. Model: 61,169 parameters, best epoch 115.</w:t>
      </w:r>
    </w:p>
    <w:p>
      <w:pPr>
        <w:spacing w:after="100"/>
        <w:jc w:val="center"/>
      </w:pPr>
      <w:r>
        <w:drawing>
          <wp:inline distT="0" distB="0" distL="0" distR="0">
            <wp:extent cx="4476750" cy="144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1447800"/>
                    </a:xfrm>
                    <a:prstGeom prst="rect">
                      <a:avLst/>
                    </a:prstGeom>
                  </pic:spPr>
                </pic:pic>
              </a:graphicData>
            </a:graphic>
          </wp:inline>
        </w:drawing>
      </w:r>
    </w:p>
    <w:p>
      <w:pPr>
        <w:spacing w:after="220"/>
      </w:pPr>
      <w:r>
        <w:rPr>
          <w:b/>
          <w:bCs/>
          <w:sz w:val="18"/>
          <w:szCs w:val="18"/>
        </w:rPr>
        <w:t xml:space="preserve">Figure S4.</w:t>
      </w:r>
      <w:r>
        <w:rPr>
          <w:sz w:val="18"/>
          <w:szCs w:val="18"/>
        </w:rPr>
        <w:t xml:space="preserve"> Cross-database consistency. (A) Distribution overlap between MIMIC-IV and eICU for stroke volume, arterial elastance, stroke work, and cardiac output. (B) Bland–Altman plot for SVR (Pearson r = 0.916). (C) Summary metrics. As discussed in the main text, SVR is an algebraic function of variables that are themselves network inputs, so this panel evidences representational fidelity rather than independent measurement agreement.</w:t>
      </w:r>
    </w:p>
    <w:p>
      <w:pPr>
        <w:pStyle w:val="Heading1"/>
        <w:spacing w:after="140" w:before="280"/>
      </w:pPr>
      <w:r>
        <w:t xml:space="preserve">S5. Cohort Context from Invasive Arterial Waveforms (VitalDB)</w:t>
      </w:r>
    </w:p>
    <w:p>
      <w:pPr>
        <w:spacing w:after="120"/>
      </w:pPr>
      <w:r>
        <w:rPr>
          <w:sz w:val="20"/>
          <w:szCs w:val="20"/>
        </w:rPr>
        <w:t xml:space="preserve">841 surgical patients from VitalDB with a radial or femoral arterial pressure waveform (SNUADC/ART, 500 Hz) and a device-measured cardiac output and stroke volume were analysed. For each patient the diastolic pressure decay was fitted to obtain τ; compliance was taken as C = SV/PP, total resistance as R_tot = (MAP − CVP)/Q̄, and R₂ = τ/C.</w:t>
      </w:r>
    </w:p>
    <w:p>
      <w:pPr>
        <w:spacing w:after="220"/>
      </w:pPr>
      <w:r>
        <w:rPr>
          <w:b/>
          <w:bCs/>
          <w:sz w:val="18"/>
          <w:szCs w:val="18"/>
        </w:rPr>
        <w:t xml:space="preserve">Table S3.</w:t>
      </w:r>
      <w:r>
        <w:rPr>
          <w:sz w:val="18"/>
          <w:szCs w:val="18"/>
        </w:rPr>
        <w:t xml:space="preserve"> VitalDB cohort summary (n = 841); median [IQR].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2995"/>
        <w:gridCol w:w="3182"/>
      </w:tblGrid>
      <w:tr>
        <w:tc>
          <w:tcPr>
            <w:tcW w:type="dxa" w:w="3182"/>
            <w:shd w:fill="EEEEEE" w:val="clear"/>
          </w:tcPr>
          <w:p>
            <w:pPr>
              <w:spacing w:after="40" w:before="40"/>
            </w:pPr>
            <w:r>
              <w:rPr>
                <w:b/>
                <w:bCs/>
                <w:sz w:val="17"/>
                <w:szCs w:val="17"/>
              </w:rPr>
              <w:t xml:space="preserve">Quantity</w:t>
            </w:r>
          </w:p>
        </w:tc>
        <w:tc>
          <w:tcPr>
            <w:tcW w:type="dxa" w:w="2995"/>
            <w:shd w:fill="EEEEEE" w:val="clear"/>
          </w:tcPr>
          <w:p>
            <w:pPr>
              <w:spacing w:after="40" w:before="40"/>
            </w:pPr>
            <w:r>
              <w:rPr>
                <w:b/>
                <w:bCs/>
                <w:sz w:val="17"/>
                <w:szCs w:val="17"/>
              </w:rPr>
              <w:t xml:space="preserve">Median [IQR]</w:t>
            </w:r>
          </w:p>
        </w:tc>
        <w:tc>
          <w:tcPr>
            <w:tcW w:type="dxa" w:w="3182"/>
            <w:shd w:fill="EEEEEE" w:val="clear"/>
          </w:tcPr>
          <w:p>
            <w:pPr>
              <w:spacing w:after="40" w:before="40"/>
            </w:pPr>
            <w:r>
              <w:rPr>
                <w:b/>
                <w:bCs/>
                <w:sz w:val="17"/>
                <w:szCs w:val="17"/>
              </w:rPr>
              <w:t xml:space="preserve">Note</w:t>
            </w:r>
          </w:p>
        </w:tc>
      </w:tr>
      <w:tr>
        <w:tc>
          <w:tcPr>
            <w:tcW w:type="dxa" w:w="3182"/>
          </w:tcPr>
          <w:p>
            <w:pPr>
              <w:spacing w:after="40" w:before="40"/>
            </w:pPr>
            <w:r>
              <w:rPr>
                <w:b w:val="false"/>
                <w:bCs w:val="false"/>
                <w:sz w:val="17"/>
                <w:szCs w:val="17"/>
              </w:rPr>
              <w:t xml:space="preserve">Heart rate (bpm)</w:t>
            </w:r>
          </w:p>
        </w:tc>
        <w:tc>
          <w:tcPr>
            <w:tcW w:type="dxa" w:w="2995"/>
          </w:tcPr>
          <w:p>
            <w:pPr>
              <w:spacing w:after="40" w:before="40"/>
            </w:pPr>
            <w:r>
              <w:rPr>
                <w:b w:val="false"/>
                <w:bCs w:val="false"/>
                <w:sz w:val="17"/>
                <w:szCs w:val="17"/>
              </w:rPr>
              <w:t xml:space="preserve">70.6 [61.2–80.0]</w:t>
            </w:r>
          </w:p>
        </w:tc>
        <w:tc>
          <w:tcPr>
            <w:tcW w:type="dxa" w:w="3182"/>
          </w:tcPr>
          <w:p>
            <w:pPr>
              <w:spacing w:after="40" w:before="40"/>
            </w:pPr>
            <w:r>
              <w:rPr>
                <w:b w:val="false"/>
                <w:bCs w:val="false"/>
                <w:sz w:val="17"/>
                <w:szCs w:val="17"/>
              </w:rPr>
              <w:t xml:space="preserve">from beat detection</w:t>
            </w:r>
          </w:p>
        </w:tc>
      </w:tr>
      <w:tr>
        <w:tc>
          <w:tcPr>
            <w:tcW w:type="dxa" w:w="3182"/>
          </w:tcPr>
          <w:p>
            <w:pPr>
              <w:spacing w:after="40" w:before="40"/>
            </w:pPr>
            <w:r>
              <w:rPr>
                <w:b w:val="false"/>
                <w:bCs w:val="false"/>
                <w:sz w:val="17"/>
                <w:szCs w:val="17"/>
              </w:rPr>
              <w:t xml:space="preserve">MAP (mmHg)</w:t>
            </w:r>
          </w:p>
        </w:tc>
        <w:tc>
          <w:tcPr>
            <w:tcW w:type="dxa" w:w="2995"/>
          </w:tcPr>
          <w:p>
            <w:pPr>
              <w:spacing w:after="40" w:before="40"/>
            </w:pPr>
            <w:r>
              <w:rPr>
                <w:b w:val="false"/>
                <w:bCs w:val="false"/>
                <w:sz w:val="17"/>
                <w:szCs w:val="17"/>
              </w:rPr>
              <w:t xml:space="preserve">84.0 [73.5–94.8]</w:t>
            </w:r>
          </w:p>
        </w:tc>
        <w:tc>
          <w:tcPr>
            <w:tcW w:type="dxa" w:w="3182"/>
          </w:tcPr>
          <w:p>
            <w:pPr>
              <w:spacing w:after="40" w:before="40"/>
            </w:pPr>
            <w:r>
              <w:rPr>
                <w:b w:val="false"/>
                <w:bCs w:val="false"/>
                <w:sz w:val="17"/>
                <w:szCs w:val="17"/>
              </w:rPr>
              <w:t xml:space="preserve">waveform mean</w:t>
            </w:r>
          </w:p>
        </w:tc>
      </w:tr>
      <w:tr>
        <w:tc>
          <w:tcPr>
            <w:tcW w:type="dxa" w:w="3182"/>
          </w:tcPr>
          <w:p>
            <w:pPr>
              <w:spacing w:after="40" w:before="40"/>
            </w:pPr>
            <w:r>
              <w:rPr>
                <w:b w:val="false"/>
                <w:bCs w:val="false"/>
                <w:sz w:val="17"/>
                <w:szCs w:val="17"/>
              </w:rPr>
              <w:t xml:space="preserve">Stroke volume (mL)</w:t>
            </w:r>
          </w:p>
        </w:tc>
        <w:tc>
          <w:tcPr>
            <w:tcW w:type="dxa" w:w="2995"/>
          </w:tcPr>
          <w:p>
            <w:pPr>
              <w:spacing w:after="40" w:before="40"/>
            </w:pPr>
            <w:r>
              <w:rPr>
                <w:b w:val="false"/>
                <w:bCs w:val="false"/>
                <w:sz w:val="17"/>
                <w:szCs w:val="17"/>
              </w:rPr>
              <w:t xml:space="preserve">66 [54–81]</w:t>
            </w:r>
          </w:p>
        </w:tc>
        <w:tc>
          <w:tcPr>
            <w:tcW w:type="dxa" w:w="3182"/>
          </w:tcPr>
          <w:p>
            <w:pPr>
              <w:spacing w:after="40" w:before="40"/>
            </w:pPr>
            <w:r>
              <w:rPr>
                <w:b w:val="false"/>
                <w:bCs w:val="false"/>
                <w:sz w:val="17"/>
                <w:szCs w:val="17"/>
              </w:rPr>
              <w:t xml:space="preserve">device-measured</w:t>
            </w:r>
          </w:p>
        </w:tc>
      </w:tr>
      <w:tr>
        <w:tc>
          <w:tcPr>
            <w:tcW w:type="dxa" w:w="3182"/>
          </w:tcPr>
          <w:p>
            <w:pPr>
              <w:spacing w:after="40" w:before="40"/>
            </w:pPr>
            <w:r>
              <w:rPr>
                <w:b w:val="false"/>
                <w:bCs w:val="false"/>
                <w:sz w:val="17"/>
                <w:szCs w:val="17"/>
              </w:rPr>
              <w:t xml:space="preserve">Cardiac output (L/min)</w:t>
            </w:r>
          </w:p>
        </w:tc>
        <w:tc>
          <w:tcPr>
            <w:tcW w:type="dxa" w:w="2995"/>
          </w:tcPr>
          <w:p>
            <w:pPr>
              <w:spacing w:after="40" w:before="40"/>
            </w:pPr>
            <w:r>
              <w:rPr>
                <w:b w:val="false"/>
                <w:bCs w:val="false"/>
                <w:sz w:val="17"/>
                <w:szCs w:val="17"/>
              </w:rPr>
              <w:t xml:space="preserve">4.70 [3.80–5.90]</w:t>
            </w:r>
          </w:p>
        </w:tc>
        <w:tc>
          <w:tcPr>
            <w:tcW w:type="dxa" w:w="3182"/>
          </w:tcPr>
          <w:p>
            <w:pPr>
              <w:spacing w:after="40" w:before="40"/>
            </w:pPr>
            <w:r>
              <w:rPr>
                <w:b w:val="false"/>
                <w:bCs w:val="false"/>
                <w:sz w:val="17"/>
                <w:szCs w:val="17"/>
              </w:rPr>
              <w:t xml:space="preserve">device-measured</w:t>
            </w:r>
          </w:p>
        </w:tc>
      </w:tr>
      <w:tr>
        <w:tc>
          <w:tcPr>
            <w:tcW w:type="dxa" w:w="3182"/>
          </w:tcPr>
          <w:p>
            <w:pPr>
              <w:spacing w:after="40" w:before="40"/>
            </w:pPr>
            <w:r>
              <w:rPr>
                <w:b w:val="false"/>
                <w:bCs w:val="false"/>
                <w:sz w:val="17"/>
                <w:szCs w:val="17"/>
              </w:rPr>
              <w:t xml:space="preserve">Compliance C (mL/mmHg)</w:t>
            </w:r>
          </w:p>
        </w:tc>
        <w:tc>
          <w:tcPr>
            <w:tcW w:type="dxa" w:w="2995"/>
          </w:tcPr>
          <w:p>
            <w:pPr>
              <w:spacing w:after="40" w:before="40"/>
            </w:pPr>
            <w:r>
              <w:rPr>
                <w:b w:val="false"/>
                <w:bCs w:val="false"/>
                <w:sz w:val="17"/>
                <w:szCs w:val="17"/>
              </w:rPr>
              <w:t xml:space="preserve">1.12 [0.88–1.40]</w:t>
            </w:r>
          </w:p>
        </w:tc>
        <w:tc>
          <w:tcPr>
            <w:tcW w:type="dxa" w:w="3182"/>
          </w:tcPr>
          <w:p>
            <w:pPr>
              <w:spacing w:after="40" w:before="40"/>
            </w:pPr>
            <w:r>
              <w:rPr>
                <w:b w:val="false"/>
                <w:bCs w:val="false"/>
                <w:sz w:val="17"/>
                <w:szCs w:val="17"/>
              </w:rPr>
              <w:t xml:space="preserve">SV/PP; nominal 1.75 = 92nd pct</w:t>
            </w:r>
          </w:p>
        </w:tc>
      </w:tr>
      <w:tr>
        <w:tc>
          <w:tcPr>
            <w:tcW w:type="dxa" w:w="3182"/>
          </w:tcPr>
          <w:p>
            <w:pPr>
              <w:spacing w:after="40" w:before="40"/>
            </w:pPr>
            <w:r>
              <w:rPr>
                <w:b w:val="false"/>
                <w:bCs w:val="false"/>
                <w:sz w:val="17"/>
                <w:szCs w:val="17"/>
              </w:rPr>
              <w:t xml:space="preserve">τ (s)</w:t>
            </w:r>
          </w:p>
        </w:tc>
        <w:tc>
          <w:tcPr>
            <w:tcW w:type="dxa" w:w="2995"/>
          </w:tcPr>
          <w:p>
            <w:pPr>
              <w:spacing w:after="40" w:before="40"/>
            </w:pPr>
            <w:r>
              <w:rPr>
                <w:b w:val="false"/>
                <w:bCs w:val="false"/>
                <w:sz w:val="17"/>
                <w:szCs w:val="17"/>
              </w:rPr>
              <w:t xml:space="preserve">0.40 [0.34–0.55]</w:t>
            </w:r>
          </w:p>
        </w:tc>
        <w:tc>
          <w:tcPr>
            <w:tcW w:type="dxa" w:w="3182"/>
          </w:tcPr>
          <w:p>
            <w:pPr>
              <w:spacing w:after="40" w:before="40"/>
            </w:pPr>
            <w:r>
              <w:rPr>
                <w:b w:val="false"/>
                <w:bCs w:val="false"/>
                <w:sz w:val="17"/>
                <w:szCs w:val="17"/>
              </w:rPr>
              <w:t xml:space="preserve">diastolic decay fit</w:t>
            </w:r>
          </w:p>
        </w:tc>
      </w:tr>
      <w:tr>
        <w:tc>
          <w:tcPr>
            <w:tcW w:type="dxa" w:w="3182"/>
          </w:tcPr>
          <w:p>
            <w:pPr>
              <w:spacing w:after="40" w:before="40"/>
            </w:pPr>
            <w:r>
              <w:rPr>
                <w:b w:val="false"/>
                <w:bCs w:val="false"/>
                <w:sz w:val="17"/>
                <w:szCs w:val="17"/>
              </w:rPr>
              <w:t xml:space="preserve">R_tot (mmHg·s/mL)</w:t>
            </w:r>
          </w:p>
        </w:tc>
        <w:tc>
          <w:tcPr>
            <w:tcW w:type="dxa" w:w="2995"/>
          </w:tcPr>
          <w:p>
            <w:pPr>
              <w:spacing w:after="40" w:before="40"/>
            </w:pPr>
            <w:r>
              <w:rPr>
                <w:b w:val="false"/>
                <w:bCs w:val="false"/>
                <w:sz w:val="17"/>
                <w:szCs w:val="17"/>
              </w:rPr>
              <w:t xml:space="preserve">1.01 [0.79–1.30]</w:t>
            </w:r>
          </w:p>
        </w:tc>
        <w:tc>
          <w:tcPr>
            <w:tcW w:type="dxa" w:w="3182"/>
          </w:tcPr>
          <w:p>
            <w:pPr>
              <w:spacing w:after="40" w:before="40"/>
            </w:pPr>
            <w:r>
              <w:rPr>
                <w:b w:val="false"/>
                <w:bCs w:val="false"/>
                <w:sz w:val="17"/>
                <w:szCs w:val="17"/>
              </w:rPr>
              <w:t xml:space="preserve">(MAP − CVP)/Q̄</w:t>
            </w:r>
          </w:p>
        </w:tc>
      </w:tr>
      <w:tr>
        <w:tc>
          <w:tcPr>
            <w:tcW w:type="dxa" w:w="3182"/>
          </w:tcPr>
          <w:p>
            <w:pPr>
              <w:spacing w:after="40" w:before="40"/>
            </w:pPr>
            <w:r>
              <w:rPr>
                <w:b w:val="false"/>
                <w:bCs w:val="false"/>
                <w:sz w:val="17"/>
                <w:szCs w:val="17"/>
              </w:rPr>
              <w:t xml:space="preserve">Stroke work (mmHg·mL)</w:t>
            </w:r>
          </w:p>
        </w:tc>
        <w:tc>
          <w:tcPr>
            <w:tcW w:type="dxa" w:w="2995"/>
          </w:tcPr>
          <w:p>
            <w:pPr>
              <w:spacing w:after="40" w:before="40"/>
            </w:pPr>
            <w:r>
              <w:rPr>
                <w:b w:val="false"/>
                <w:bCs w:val="false"/>
                <w:sz w:val="17"/>
                <w:szCs w:val="17"/>
              </w:rPr>
              <w:t xml:space="preserve">7,222 [5,816–9,300]</w:t>
            </w:r>
          </w:p>
        </w:tc>
        <w:tc>
          <w:tcPr>
            <w:tcW w:type="dxa" w:w="3182"/>
          </w:tcPr>
          <w:p>
            <w:pPr>
              <w:spacing w:after="40" w:before="40"/>
            </w:pPr>
            <w:r>
              <w:rPr>
                <w:b w:val="false"/>
                <w:bCs w:val="false"/>
                <w:sz w:val="17"/>
                <w:szCs w:val="17"/>
              </w:rPr>
              <w:t xml:space="preserve">P_es·SV; contains 7,000, excludes 3,675</w:t>
            </w:r>
          </w:p>
        </w:tc>
      </w:tr>
    </w:tbl>
    <w:p>
      <w:pPr>
        <w:spacing w:after="120"/>
      </w:pPr>
      <w:r>
        <w:rPr>
          <w:sz w:val="19"/>
          <w:szCs w:val="19"/>
        </w:rPr>
        <w:t xml:space="preserve">Identifiability of Z_c. Separating the characteristic impedance requires the observable diastolic window to exceed roughly 0.9·R_tot·C. In this surgical cohort the ratio of available to required window length had a median of 0.46, and only 14 of 841 patients (1.7%) met the criterion. τ is therefore systematically underestimated, R₂ = τ/C absorbs the bias, and the residual Z_c = R_tot − R₂ inflates to a median 62% of total resistance — an order of magnitude above the physiological 5–10%. We accordingly report R_tot, C, and τ as identifiable from this source and treat Z_c, r_diss, and E_diss as literature-calibrated. The architectural guarantee is unaffected, since it depends on R(x) ⪰ 0 and not on the numerical value of r_diss.</w:t>
      </w:r>
    </w:p>
    <w:p>
      <w:pPr>
        <w:pStyle w:val="Heading1"/>
        <w:spacing w:after="140" w:before="280"/>
      </w:pPr>
      <w:r>
        <w:t xml:space="preserve">S6. Reproducibility</w:t>
      </w:r>
    </w:p>
    <w:p>
      <w:pPr>
        <w:spacing w:after="120"/>
      </w:pPr>
      <w:r>
        <w:rPr>
          <w:sz w:val="20"/>
          <w:szCs w:val="20"/>
        </w:rPr>
        <w:t xml:space="preserve">The reproducibility package accompanying this submission contains the model and ablation code (PyTorch), the patient-level ablation runner with its explicit disjointness assertion, the VitalDB Windkessel fitting script, the figure-generation scripts, and the derived result files (12 per-seed ablation JSON files and the 841-case VitalDB table) needed to regenerate every figure and table. Networks were trained with AdamW (learning rate 2 × 10⁻³, weight decay 10⁻⁴, cosine schedule, gradient-norm clipping at 1.0); the ablation used 80 epochs, batch size 512, and three random seeds (0, 1, 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fd43d73ea0d50a3cc402fb19fd97cbdc111a48e.png"/><Relationship Id="rId8" Type="http://schemas.openxmlformats.org/officeDocument/2006/relationships/image" Target="media/443ba41125c38bf0f45acecbd1586cc11c24992c.png"/><Relationship Id="rId9" Type="http://schemas.openxmlformats.org/officeDocument/2006/relationships/image" Target="media/42376d0e915c0fc2a4df79bf8f4245d38c2def53.png"/><Relationship Id="rId10" Type="http://schemas.openxmlformats.org/officeDocument/2006/relationships/image" Target="media/909a0aecfbf4c5747aa3172f3109eeed311d4c15.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2026-07-29T17:17:10.656Z</dcterms:created>
  <dcterms:modified xsi:type="dcterms:W3CDTF">2026-07-29T17:17:10.656Z</dcterms:modified>
</cp:coreProperties>
</file>

<file path=docProps/custom.xml><?xml version="1.0" encoding="utf-8"?>
<Properties xmlns="http://schemas.openxmlformats.org/officeDocument/2006/custom-properties" xmlns:vt="http://schemas.openxmlformats.org/officeDocument/2006/docPropsVTypes"/>
</file>