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 w:line="276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Supplementary Material</w:t>
      </w:r>
    </w:p>
    <w:p>
      <w:pPr>
        <w:spacing w:after="240" w:before="0" w:line="276"/>
        <w:jc w:val="center"/>
      </w:pPr>
      <w:r>
        <w:rPr>
          <w:i/>
          <w:iCs/>
        </w:rPr>
        <w:t xml:space="preserve">Companion to: </w:t>
      </w:r>
      <w:r>
        <w:t xml:space="preserve">“Port-Hamiltonian Physics-Informed Neural Networks for Cardiac Hemodynamic Inference with Architecturally Guaranteed Energy Consistency.”</w:t>
      </w:r>
    </w:p>
    <w:p>
      <w:pPr>
        <w:pStyle w:val="Heading1"/>
        <w:spacing w:after="120" w:before="0" w:line="276"/>
        <w:jc w:val="left"/>
      </w:pPr>
      <w:r>
        <w:t xml:space="preserve">S1. Anatomical Reconstruction Statistics</w:t>
      </w:r>
    </w:p>
    <w:p>
      <w:pPr>
        <w:spacing w:after="120" w:before="0" w:line="276"/>
        <w:jc w:val="left"/>
      </w:pPr>
      <w:r>
        <w:t xml:space="preserve">The multi-structure assembly integrated 13 cardiac structures totaling 957,608 triangular mesh elements and 175.7 MB of geometric data (Fig. S1C). Analysis across 20 MM-WHS cases revealed population-level chamber volumes of LV 82.5 ± 35.0 mL, RV 116.7 ± 36.3 mL, LA 79.3 ± 25.1 mL, and RA 83.7 ± 28.9 mL (Fig. S1A). Myocardial mass averaged 115.8 ± 28.7 g. Wall-thickness analysis of Case 1009 showed a mean of 6.8 ± 2.1 mm with regional variation: apex 6.7 ± 1.7 mm, mid-ventricular 7.0 ± 2.0 mm, base 6.8 ± 2.6 mm (Fig. S1B), consistent with published normal ranges.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left"/>
      </w:pPr>
      <w:r>
        <w:rPr>
          <w:b/>
          <w:bCs/>
        </w:rPr>
        <w:t xml:space="preserve">Figure S1. </w:t>
      </w:r>
      <w:r>
        <w:t xml:space="preserve">Multi-structure cardiac anatomy. (A) Chamber-volume distributions across 20 MM-WHS cases. (B) LV wall-thickness histogram (Case 1009; mean 6.8 ± 2.1 mm). (C) Assembly inventory: 13 structures by source tier, totaling 957,608 triangles.</w:t>
      </w:r>
    </w:p>
    <w:p>
      <w:pPr>
        <w:pStyle w:val="Heading1"/>
        <w:spacing w:after="120" w:before="0" w:line="276"/>
        <w:jc w:val="left"/>
      </w:pPr>
      <w:r>
        <w:t xml:space="preserve">S2. Model Performance and Anatomical Hierarchy</w:t>
      </w:r>
    </w:p>
    <w:p>
      <w:pPr>
        <w:spacing w:after="100" w:before="0" w:line="276"/>
        <w:jc w:val="left"/>
      </w:pPr>
      <w:r>
        <w:rPr>
          <w:b/>
          <w:bCs/>
        </w:rPr>
        <w:t xml:space="preserve">Table S1. </w:t>
      </w:r>
      <w:r>
        <w:t xml:space="preserve">pH-PINN model performance across seven hemodynamic target parameters (single-run metrics).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200"/>
        <w:gridCol w:w="1300"/>
        <w:gridCol w:w="1500"/>
        <w:gridCol w:w="1300"/>
        <w:gridCol w:w="1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Normal 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Clinical Use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Measurement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Ees (Elastance)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mmHg/mL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1.5–4.0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LV contractility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Surrogate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mmHg/mL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0.03–0.1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LV compliance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Surrogate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mmHg/mL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1.0–3.0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Afterload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Surrogate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 Coupling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0.5–1.2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Efficiency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Surrogate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mmHg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5–20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Preload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Direct†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Mech. Eff.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50–70*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Energetics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Surrogate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τ (Tau)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30–60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Relaxation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Surrogate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Validated</w:t>
            </w:r>
          </w:p>
        </w:tc>
      </w:tr>
    </w:tbl>
    <w:p>
      <w:pPr>
        <w:spacing w:after="220" w:before="0" w:line="276"/>
        <w:jc w:val="left"/>
      </w:pPr>
      <w:r>
        <w:t xml:space="preserve">* PVA-based gross efficiency (SW/PVA = 64.8%) per Suga-Sagawa; net efficiency after port-Hamiltonian dissipation (SW − </w:t>
      </w:r>
      <w:r>
        <w:rPr>
          <w:i/>
          <w:iCs/>
        </w:rPr>
        <w:t xml:space="preserve">E</w:t>
      </w:r>
      <w:r>
        <w:rPr>
          <w:vertAlign w:val="subscript"/>
        </w:rPr>
        <w:t xml:space="preserve">diss</w:t>
      </w:r>
      <w:r>
        <w:t xml:space="preserve">)/PVA = 62.3%. † PAWP as surrogate for EDP in ICU databases.</w:t>
      </w:r>
    </w:p>
    <w:p>
      <w:pPr>
        <w:spacing w:after="100" w:before="0" w:line="276"/>
        <w:jc w:val="left"/>
      </w:pPr>
      <w:r>
        <w:rPr>
          <w:b/>
          <w:bCs/>
        </w:rPr>
        <w:t xml:space="preserve">Table S2. </w:t>
      </w:r>
      <w:r>
        <w:t xml:space="preserve">Three-tier patient-specificity hierarchy for anatomical reconstruction.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600"/>
        <w:gridCol w:w="1430"/>
        <w:gridCol w:w="143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Structures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1: Patient-specific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LV surface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Direct CT segmentation (MM-WHS)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166,936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2: Patient-adapted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Papillary muscles, wall thickness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K-means from patient CT + thickness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253,920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3: Atlas-registered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RV, RA, LAA, coronary, PA, PV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STACOM2025 atlas + ICP registration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~500,000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Low–Medium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Parametric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MV, AV, chordae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Literature-based dimensions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~37,000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Population</w:t>
            </w:r>
          </w:p>
        </w:tc>
      </w:tr>
    </w:tbl>
    <w:p>
      <w:pPr>
        <w:spacing w:after="200" w:before="0" w:line="276"/>
        <w:jc w:val="left"/>
      </w:pPr>
      <w:r>
        <w:t xml:space="preserve">ICP registration distances for Tier 3 structures: 0.35–0.58 (target &lt; 0.15); see main-text Limitations.</w:t>
      </w:r>
    </w:p>
    <w:p>
      <w:pPr>
        <w:pStyle w:val="Heading1"/>
        <w:spacing w:after="120" w:before="0" w:line="276"/>
        <w:jc w:val="left"/>
      </w:pPr>
      <w:r>
        <w:t xml:space="preserve">S3. State Variables, Network I/O, and Energy Parameterization</w:t>
      </w:r>
    </w:p>
    <w:p>
      <w:pPr>
        <w:spacing w:after="120" w:before="0" w:line="276"/>
        <w:jc w:val="left"/>
      </w:pPr>
      <w:r>
        <w:t xml:space="preserve">The pH-PINN maps </w:t>
      </w:r>
      <w:r>
        <w:rPr>
          <w:b/>
          <w:bCs/>
        </w:rPr>
        <w:t xml:space="preserve">11 non-invasive input features</w:t>
      </w:r>
      <w:r>
        <w:t xml:space="preserve"> (heart rate, arterial pressures, and echocardiographic chamber and function indices) to the port-Hamiltonian state </w:t>
      </w:r>
      <w:r>
        <w:rPr>
          <w:i/>
          <w:iCs/>
        </w:rPr>
        <w:t xml:space="preserve">x</w:t>
      </w:r>
      <w:r>
        <w:t xml:space="preserve"> = (</w:t>
      </w:r>
      <w:r>
        <w:rPr>
          <w:i/>
          <w:iCs/>
        </w:rPr>
        <w:t xml:space="preserve">q</w:t>
      </w:r>
      <w:r>
        <w:t xml:space="preserve">, </w:t>
      </w:r>
      <w:r>
        <w:rPr>
          <w:i/>
          <w:iCs/>
        </w:rPr>
        <w:t xml:space="preserve">p</w:t>
      </w:r>
      <w:r>
        <w:t xml:space="preserve">) ∈ ℝ⁵ and a small set of auxiliary elastances, and decodes </w:t>
      </w:r>
      <w:r>
        <w:rPr>
          <w:b/>
          <w:bCs/>
        </w:rPr>
        <w:t xml:space="preserve">13 outputs</w:t>
      </w:r>
      <w:r>
        <w:t xml:space="preserve"> — seven clinical targets (</w:t>
      </w:r>
      <w:r>
        <w:rPr>
          <w:i/>
          <w:iCs/>
        </w:rPr>
        <w:t xml:space="preserve">E</w:t>
      </w:r>
      <w:r>
        <w:rPr>
          <w:vertAlign w:val="subscript"/>
        </w:rPr>
        <w:t xml:space="preserve">es</w:t>
      </w:r>
      <w:r>
        <w:t xml:space="preserve">, </w:t>
      </w:r>
      <w:r>
        <w:rPr>
          <w:i/>
          <w:iCs/>
        </w:rPr>
        <w:t xml:space="preserve">E</w:t>
      </w:r>
      <w:r>
        <w:rPr>
          <w:vertAlign w:val="subscript"/>
        </w:rPr>
        <w:t xml:space="preserve">ed</w:t>
      </w:r>
      <w:r>
        <w:t xml:space="preserve">, </w:t>
      </w:r>
      <w:r>
        <w:rPr>
          <w:i/>
          <w:iCs/>
        </w:rPr>
        <w:t xml:space="preserve">E</w:t>
      </w:r>
      <w:r>
        <w:rPr>
          <w:vertAlign w:val="subscript"/>
        </w:rPr>
        <w:t xml:space="preserve">a</w:t>
      </w:r>
      <w:r>
        <w:t xml:space="preserve">, ventricular–arterial coupling, EDP, mechanical efficiency, </w:t>
      </w:r>
      <w:r>
        <w:rPr>
          <w:i/>
          <w:iCs/>
        </w:rPr>
        <w:t xml:space="preserve">τ</w:t>
      </w:r>
      <w:r>
        <w:t xml:space="preserve">) and six internal energy quantities. The encoder is an MLP (11→256→128→64, GELU, LayerNorm) with separate coordinate, momentum, and auxiliary heads (Fig. S2).</w:t>
      </w:r>
    </w:p>
    <w:p>
      <w:pPr>
        <w:spacing w:after="60" w:before="120"/>
        <w:jc w:val="center"/>
      </w:pPr>
      <w:r>
        <w:drawing>
          <wp:inline distT="0" distB="0" distL="0" distR="0">
            <wp:extent cx="46863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b/>
          <w:bCs/>
        </w:rPr>
        <w:t xml:space="preserve">Figure S2. </w:t>
      </w:r>
      <w:r>
        <w:t xml:space="preserve">pH-PINN architecture. Non-invasive features are encoded to the port-Hamiltonian state </w:t>
      </w:r>
      <w:r>
        <w:rPr>
          <w:i/>
          <w:iCs/>
        </w:rPr>
        <w:t xml:space="preserve">x</w:t>
      </w:r>
      <w:r>
        <w:t xml:space="preserve"> = (</w:t>
      </w:r>
      <w:r>
        <w:rPr>
          <w:i/>
          <w:iCs/>
        </w:rPr>
        <w:t xml:space="preserve">q</w:t>
      </w:r>
      <w:r>
        <w:t xml:space="preserve">, </w:t>
      </w:r>
      <w:r>
        <w:rPr>
          <w:i/>
          <w:iCs/>
        </w:rPr>
        <w:t xml:space="preserve">p</w:t>
      </w:r>
      <w:r>
        <w:t xml:space="preserve">); separate non-negative heads emit the potential and kinetic energies that form </w:t>
      </w:r>
      <w:r>
        <w:rPr>
          <w:i/>
          <w:iCs/>
        </w:rPr>
        <w:t xml:space="preserve">H</w:t>
      </w:r>
      <w:r>
        <w:t xml:space="preserve"> = </w:t>
      </w:r>
      <w:r>
        <w:rPr>
          <w:i/>
          <w:iCs/>
        </w:rPr>
        <w:t xml:space="preserve">T</w:t>
      </w:r>
      <w:r>
        <w:t xml:space="preserve"> + </w:t>
      </w:r>
      <w:r>
        <w:rPr>
          <w:i/>
          <w:iCs/>
        </w:rPr>
        <w:t xml:space="preserve">V</w:t>
      </w:r>
      <w:r>
        <w:t xml:space="preserve">, the dissipation </w:t>
      </w:r>
      <w:r>
        <w:rPr>
          <w:i/>
          <w:iCs/>
        </w:rPr>
        <w:t xml:space="preserve">R</w:t>
      </w:r>
      <w:r>
        <w:t xml:space="preserve">(</w:t>
      </w:r>
      <w:r>
        <w:rPr>
          <w:i/>
          <w:iCs/>
        </w:rPr>
        <w:t xml:space="preserve">x</w:t>
      </w:r>
      <w:r>
        <w:t xml:space="preserve">) enters the port-Hamiltonian dynamics, and a Suga–Sagawa decoder returns the clinical targets. Non-negativity of </w:t>
      </w:r>
      <w:r>
        <w:rPr>
          <w:i/>
          <w:iCs/>
        </w:rPr>
        <w:t xml:space="preserve">T</w:t>
      </w:r>
      <w:r>
        <w:t xml:space="preserve">, </w:t>
      </w:r>
      <w:r>
        <w:rPr>
          <w:i/>
          <w:iCs/>
        </w:rPr>
        <w:t xml:space="preserve">V</w:t>
      </w:r>
      <w:r>
        <w:t xml:space="preserve">, the partition </w:t>
      </w:r>
      <w:r>
        <w:rPr>
          <w:i/>
          <w:iCs/>
        </w:rPr>
        <w:t xml:space="preserve">H</w:t>
      </w:r>
      <w:r>
        <w:t xml:space="preserve"> = </w:t>
      </w:r>
      <w:r>
        <w:rPr>
          <w:i/>
          <w:iCs/>
        </w:rPr>
        <w:t xml:space="preserve">T</w:t>
      </w:r>
      <w:r>
        <w:t xml:space="preserve"> + </w:t>
      </w:r>
      <w:r>
        <w:rPr>
          <w:i/>
          <w:iCs/>
        </w:rPr>
        <w:t xml:space="preserve">V</w:t>
      </w:r>
      <w:r>
        <w:t xml:space="preserve">, and PSD </w:t>
      </w:r>
      <w:r>
        <w:rPr>
          <w:i/>
          <w:iCs/>
        </w:rPr>
        <w:t xml:space="preserve">R</w:t>
      </w:r>
      <w:r>
        <w:t xml:space="preserve"> hold by construction.</w:t>
      </w:r>
    </w:p>
    <w:p>
      <w:pPr>
        <w:spacing w:after="100" w:before="0" w:line="276"/>
        <w:jc w:val="left"/>
      </w:pPr>
      <w:r>
        <w:rPr>
          <w:b/>
          <w:bCs/>
        </w:rPr>
        <w:t xml:space="preserve">Table S3. </w:t>
      </w:r>
      <w:r>
        <w:t xml:space="preserve">State variables and auxiliary parameters (production pH-PINN).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660"/>
        <w:gridCol w:w="27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Physical meaning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Network 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66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 / range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V_LV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LV volume (generalized coordinate q1)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q-head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softplus, 20–400 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V_LA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 volume (generalized coordinate q2)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q-head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softplus, 5–100 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V_art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Arterial volume (generalized coordinate q3)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q-head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softplus, 50–300 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p_mv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Mitral flow momentum (inertance × flow)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p-head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p_ao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Aortic flow momentum (inertance × flow)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p-head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E_es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End-systolic elastance (ESPVR slope)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aux-head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softplus, 0.5–10 mmHg/mL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E_ed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Diastolic stiffness (EDPVR)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aux-head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sigmoid, 0–0.5 /mL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V_0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Unstressed volume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aux-head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Relaxation time constant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aux-head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softplus, 30–100 ms</w:t>
            </w:r>
          </w:p>
        </w:tc>
      </w:tr>
    </w:tbl>
    <w:p>
      <w:pPr>
        <w:spacing w:after="200" w:before="0" w:line="276"/>
        <w:jc w:val="left"/>
      </w:pPr>
      <w:r>
        <w:t xml:space="preserve">Energy heads: </w:t>
      </w:r>
      <w:r>
        <w:rPr>
          <w:i/>
          <w:iCs/>
        </w:rPr>
        <w:t xml:space="preserve">V</w:t>
      </w:r>
      <w:r>
        <w:t xml:space="preserve">(</w:t>
      </w:r>
      <w:r>
        <w:rPr>
          <w:i/>
          <w:iCs/>
        </w:rPr>
        <w:t xml:space="preserve">q</w:t>
      </w:r>
      <w:r>
        <w:t xml:space="preserve">) = softplus(</w:t>
      </w:r>
      <w:r>
        <w:rPr>
          <w:i/>
          <w:iCs/>
        </w:rPr>
        <w:t xml:space="preserve">f</w:t>
      </w:r>
      <w:r>
        <w:rPr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q</w:t>
      </w:r>
      <w:r>
        <w:t xml:space="preserve">)) ≥ 0 (elastic potential); </w:t>
      </w:r>
      <w:r>
        <w:rPr>
          <w:i/>
          <w:iCs/>
        </w:rPr>
        <w:t xml:space="preserve">T</w:t>
      </w:r>
      <w:r>
        <w:t xml:space="preserve">(</w:t>
      </w:r>
      <w:r>
        <w:rPr>
          <w:i/>
          <w:iCs/>
        </w:rPr>
        <w:t xml:space="preserve">q</w:t>
      </w:r>
      <w:r>
        <w:t xml:space="preserve">, </w:t>
      </w:r>
      <w:r>
        <w:rPr>
          <w:i/>
          <w:iCs/>
        </w:rPr>
        <w:t xml:space="preserve">p</w:t>
      </w:r>
      <w:r>
        <w:t xml:space="preserve">) = ½ </w:t>
      </w:r>
      <w:r>
        <w:rPr>
          <w:i/>
          <w:iCs/>
        </w:rPr>
        <w:t xml:space="preserve">p</w:t>
      </w:r>
      <w:r>
        <w:t xml:space="preserve">ᵀ </w:t>
      </w:r>
      <w:r>
        <w:rPr>
          <w:i/>
          <w:iCs/>
        </w:rPr>
        <w:t xml:space="preserve">M</w:t>
      </w:r>
      <w:r>
        <w:rPr>
          <w:vertAlign w:val="superscript"/>
        </w:rPr>
        <w:t xml:space="preserve">−1</w:t>
      </w:r>
      <w:r>
        <w:t xml:space="preserve">(</w:t>
      </w:r>
      <w:r>
        <w:rPr>
          <w:i/>
          <w:iCs/>
        </w:rPr>
        <w:t xml:space="preserve">q</w:t>
      </w:r>
      <w:r>
        <w:t xml:space="preserve">) </w:t>
      </w:r>
      <w:r>
        <w:rPr>
          <w:i/>
          <w:iCs/>
        </w:rPr>
        <w:t xml:space="preserve">p</w:t>
      </w:r>
      <w:r>
        <w:t xml:space="preserve"> with </w:t>
      </w:r>
      <w:r>
        <w:rPr>
          <w:i/>
          <w:iCs/>
        </w:rPr>
        <w:t xml:space="preserve">M</w:t>
      </w:r>
      <w:r>
        <w:rPr>
          <w:vertAlign w:val="superscript"/>
        </w:rPr>
        <w:t xml:space="preserve">−1</w:t>
      </w:r>
      <w:r>
        <w:t xml:space="preserve">(</w:t>
      </w:r>
      <w:r>
        <w:rPr>
          <w:i/>
          <w:iCs/>
        </w:rPr>
        <w:t xml:space="preserve">q</w:t>
      </w:r>
      <w:r>
        <w:t xml:space="preserve">) = </w:t>
      </w:r>
      <w:r>
        <w:rPr>
          <w:i/>
          <w:iCs/>
        </w:rPr>
        <w:t xml:space="preserve">L</w:t>
      </w:r>
      <w:r>
        <w:t xml:space="preserve">(</w:t>
      </w:r>
      <w:r>
        <w:rPr>
          <w:i/>
          <w:iCs/>
        </w:rPr>
        <w:t xml:space="preserve">q</w:t>
      </w:r>
      <w:r>
        <w:t xml:space="preserve">)</w:t>
      </w:r>
      <w:r>
        <w:rPr>
          <w:i/>
          <w:iCs/>
        </w:rPr>
        <w:t xml:space="preserve">L</w:t>
      </w:r>
      <w:r>
        <w:t xml:space="preserve">(</w:t>
      </w:r>
      <w:r>
        <w:rPr>
          <w:i/>
          <w:iCs/>
        </w:rPr>
        <w:t xml:space="preserve">q</w:t>
      </w:r>
      <w:r>
        <w:t xml:space="preserve">)ᵀ + ε</w:t>
      </w:r>
      <w:r>
        <w:rPr>
          <w:i/>
          <w:iCs/>
        </w:rPr>
        <w:t xml:space="preserve">I</w:t>
      </w:r>
      <w:r>
        <w:t xml:space="preserve"> ≻ 0 (kinetic; the ablation model A uses </w:t>
      </w:r>
      <w:r>
        <w:rPr>
          <w:i/>
          <w:iCs/>
        </w:rPr>
        <w:t xml:space="preserve">T</w:t>
      </w:r>
      <w:r>
        <w:t xml:space="preserve"> = softplus(</w:t>
      </w:r>
      <w:r>
        <w:rPr>
          <w:i/>
          <w:iCs/>
        </w:rPr>
        <w:t xml:space="preserve">f</w:t>
      </w:r>
      <w:r>
        <w:rPr>
          <w:vertAlign w:val="subscript"/>
        </w:rPr>
        <w:t xml:space="preserve">T</w:t>
      </w:r>
      <w:r>
        <w:t xml:space="preserve">) instead — both give </w:t>
      </w:r>
      <w:r>
        <w:rPr>
          <w:i/>
          <w:iCs/>
        </w:rPr>
        <w:t xml:space="preserve">T</w:t>
      </w:r>
      <w:r>
        <w:t xml:space="preserve"> ≥ 0). Hence </w:t>
      </w:r>
      <w:r>
        <w:rPr>
          <w:i/>
          <w:iCs/>
        </w:rPr>
        <w:t xml:space="preserve">H</w:t>
      </w:r>
      <w:r>
        <w:t xml:space="preserve"> = </w:t>
      </w:r>
      <w:r>
        <w:rPr>
          <w:i/>
          <w:iCs/>
        </w:rPr>
        <w:t xml:space="preserve">T</w:t>
      </w:r>
      <w:r>
        <w:t xml:space="preserve"> + </w:t>
      </w:r>
      <w:r>
        <w:rPr>
          <w:i/>
          <w:iCs/>
        </w:rPr>
        <w:t xml:space="preserve">V</w:t>
      </w:r>
      <w:r>
        <w:t xml:space="preserve"> and </w:t>
      </w:r>
      <w:r>
        <w:rPr>
          <w:i/>
          <w:iCs/>
        </w:rPr>
        <w:t xml:space="preserve">T</w:t>
      </w:r>
      <w:r>
        <w:t xml:space="preserve">, </w:t>
      </w:r>
      <w:r>
        <w:rPr>
          <w:i/>
          <w:iCs/>
        </w:rPr>
        <w:t xml:space="preserve">V</w:t>
      </w:r>
      <w:r>
        <w:t xml:space="preserve"> ≥ 0 hold by construction. Dissipation is </w:t>
      </w:r>
      <w:r>
        <w:rPr>
          <w:i/>
          <w:iCs/>
        </w:rPr>
        <w:t xml:space="preserve">R</w:t>
      </w:r>
      <w:r>
        <w:t xml:space="preserve">(</w:t>
      </w:r>
      <w:r>
        <w:rPr>
          <w:i/>
          <w:iCs/>
        </w:rPr>
        <w:t xml:space="preserve">x</w:t>
      </w:r>
      <w:r>
        <w:t xml:space="preserve">) = </w:t>
      </w:r>
      <w:r>
        <w:rPr>
          <w:i/>
          <w:iCs/>
        </w:rPr>
        <w:t xml:space="preserve">r</w:t>
      </w:r>
      <w:r>
        <w:rPr>
          <w:vertAlign w:val="subscript"/>
        </w:rPr>
        <w:t xml:space="preserve">diss</w:t>
      </w:r>
      <w:r>
        <w:t xml:space="preserve"> </w:t>
      </w:r>
      <w:r>
        <w:rPr>
          <w:i/>
          <w:iCs/>
        </w:rPr>
        <w:t xml:space="preserve">I</w:t>
      </w:r>
      <w:r>
        <w:t xml:space="preserve"> with </w:t>
      </w:r>
      <w:r>
        <w:rPr>
          <w:i/>
          <w:iCs/>
        </w:rPr>
        <w:t xml:space="preserve">r</w:t>
      </w:r>
      <w:r>
        <w:rPr>
          <w:vertAlign w:val="subscript"/>
        </w:rPr>
        <w:t xml:space="preserve">diss</w:t>
      </w:r>
      <w:r>
        <w:t xml:space="preserve"> calibrated from the Windkessel characteristic impedance </w:t>
      </w:r>
      <w:r>
        <w:rPr>
          <w:i/>
          <w:iCs/>
        </w:rPr>
        <w:t xml:space="preserve">Z</w:t>
      </w:r>
      <w:r>
        <w:rPr>
          <w:vertAlign w:val="subscript"/>
        </w:rPr>
        <w:t xml:space="preserve">c</w:t>
      </w:r>
      <w:r>
        <w:t xml:space="preserve"> (production runs), and a learned Cholesky matrix </w:t>
      </w:r>
      <w:r>
        <w:rPr>
          <w:i/>
          <w:iCs/>
        </w:rPr>
        <w:t xml:space="preserve">R</w:t>
      </w:r>
      <w:r>
        <w:t xml:space="preserve"> = </w:t>
      </w:r>
      <w:r>
        <w:rPr>
          <w:i/>
          <w:iCs/>
        </w:rPr>
        <w:t xml:space="preserve">LL</w:t>
      </w:r>
      <w:r>
        <w:rPr>
          <w:vertAlign w:val="superscript"/>
        </w:rPr>
        <w:t xml:space="preserve">⊤</w:t>
      </w:r>
      <w:r>
        <w:t xml:space="preserve"> ⪰ 0 in the hard-constrained ablation model. Unconstrained baselines omit these constraints; the soft-constraint model replaces them with loss penalties.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S-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pH-PINN Cardiac Digital Twin — Supplementary Material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d43d73ea0d50a3cc402fb19fd97cbdc111a48e.png"/><Relationship Id="rId10" Type="http://schemas.openxmlformats.org/officeDocument/2006/relationships/image" Target="media/443ba41125c38bf0f45acecbd1586cc11c24992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2026-07-26T13:59:59.549Z</dcterms:created>
  <dcterms:modified xsi:type="dcterms:W3CDTF">2026-07-26T13:59:59.549Z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