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1F3A5F"/>
          </w:tcPr>
          <w:p>
            <w:pPr>
              <w:spacing w:before="200" w:after="40"/>
            </w:pPr>
            <w:r>
              <w:rPr>
                <w:b/>
                <w:color w:val="FFFFFF"/>
                <w:sz w:val="19"/>
              </w:rPr>
              <w:t>REALIZACJA PROJEKTU INFORMATYCZNEGO 2026/2027</w:t>
            </w:r>
          </w:p>
          <w:p>
            <w:pPr>
              <w:spacing w:after="200"/>
            </w:pPr>
            <w:r>
              <w:rPr>
                <w:color w:val="D6E6EA"/>
                <w:sz w:val="18"/>
              </w:rPr>
              <w:t>Politechnika Gdańska, Wydział ETI, Katedra Inżynierii Oprogramowania</w:t>
            </w:r>
          </w:p>
        </w:tc>
      </w:tr>
    </w:tbl>
    <w:p/>
    <w:p/>
    <w:p/>
    <w:p/>
    <w:p/>
    <w:p>
      <w:r>
        <w:rPr>
          <w:b/>
          <w:color w:val="1F3A5F"/>
          <w:sz w:val="68"/>
        </w:rPr>
        <w:t>MedChat</w:t>
      </w:r>
    </w:p>
    <w:p>
      <w:pPr>
        <w:pBdr>
          <w:bottom w:val="single" w:sz="18" w:space="4" w:color="2A7F8F"/>
        </w:pBdr>
      </w:pPr>
      <w:r>
        <w:rPr>
          <w:color w:val="5A6577"/>
          <w:sz w:val="26"/>
        </w:rPr>
        <w:t>Wieloagentowy system LLM do odpowiedzi na pytania medyczne i analiza etykiety „maybe” w PubMedQA</w:t>
      </w:r>
    </w:p>
    <w:p/>
    <w:p>
      <w:r>
        <w:rPr>
          <w:b/>
          <w:color w:val="2A7F8F"/>
          <w:sz w:val="44"/>
        </w:rPr>
        <w:t>Organizacja i infrastruktura projektu</w:t>
      </w:r>
    </w:p>
    <w:p/>
    <w:p/>
    <w:p/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381"/>
          </w:tcPr>
          <w:p>
            <w:r/>
            <w:r>
              <w:rPr>
                <w:b/>
                <w:color w:val="1F3A5F"/>
                <w:sz w:val="20"/>
              </w:rPr>
              <w:t>Wersja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20"/>
              </w:rPr>
              <w:t>1.0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color w:val="1F3A5F"/>
                <w:sz w:val="20"/>
              </w:rPr>
              <w:t>Data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20"/>
              </w:rPr>
              <w:t>17.10.2026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color w:val="1F3A5F"/>
                <w:sz w:val="20"/>
              </w:rPr>
              <w:t>Status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20"/>
              </w:rPr>
              <w:t>wersja do przeglądu w zespole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color w:val="1F3A5F"/>
                <w:sz w:val="20"/>
              </w:rPr>
              <w:t>Autorzy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20"/>
              </w:rPr>
              <w:t>Antoni Kwiatek, Grzegorz Horbaczewski, Kamil Łapacz, Wiktor Tężycki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color w:val="1F3A5F"/>
                <w:sz w:val="20"/>
              </w:rPr>
              <w:t>Opiekun projektu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20"/>
              </w:rPr>
              <w:t>[do uzupełnienia]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color w:val="1F3A5F"/>
                <w:sz w:val="20"/>
              </w:rPr>
              <w:t>Repozytorium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20"/>
              </w:rPr>
              <w:t>https://github.com/Kwiatek47/When-Retrieval-Isn-t-the-Problem</w:t>
            </w:r>
          </w:p>
        </w:tc>
      </w:tr>
    </w:tbl>
    <w:p>
      <w:r>
        <w:br w:type="page"/>
      </w:r>
    </w:p>
    <w:p>
      <w:pPr>
        <w:pStyle w:val="Heading1"/>
      </w:pPr>
      <w:r>
        <w:t>Historia zmian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113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Wersja</w:t>
            </w:r>
          </w:p>
        </w:tc>
        <w:tc>
          <w:tcPr>
            <w:tcW w:type="dxa" w:w="1587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Data</w:t>
            </w:r>
          </w:p>
        </w:tc>
        <w:tc>
          <w:tcPr>
            <w:tcW w:type="dxa" w:w="249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Autor</w:t>
            </w:r>
          </w:p>
        </w:tc>
        <w:tc>
          <w:tcPr>
            <w:tcW w:type="dxa" w:w="3969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Opis zmian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 w:val="0"/>
                <w:sz w:val="20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20"/>
              </w:rPr>
              <w:t>17.10.2026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20"/>
              </w:rPr>
              <w:t>Kamil Łapacz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Pierwsza wersja raportu na podstawie repozytorium i ustaleń zespołu</w:t>
            </w:r>
          </w:p>
        </w:tc>
      </w:tr>
    </w:tbl>
    <w:p>
      <w:pPr>
        <w:pStyle w:val="Heading1"/>
      </w:pPr>
      <w:r>
        <w:t>Spis treści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t>Kliknij prawym przyciskiem i wybierz „Aktualizuj pole”, aby odświeżyć spis treści.</w:t>
      </w:r>
      <w:r>
        <w:fldChar w:fldCharType="end"/>
      </w:r>
    </w:p>
    <w:p>
      <w:r>
        <w:br w:type="page"/>
      </w:r>
    </w:p>
    <w:p>
      <w:pPr>
        <w:pStyle w:val="Heading1"/>
      </w:pPr>
      <w:r>
        <w:t>1. Opis projektu i produktu</w:t>
      </w:r>
    </w:p>
    <w:p>
      <w:r>
        <w:rPr>
          <w:b/>
        </w:rPr>
        <w:t>Nazwa projektu i produktu.</w:t>
      </w:r>
      <w:r>
        <w:t xml:space="preserve"> MedChat: wieloagentowy system llm do odpowiedzi na pytania medyczne i analiza etykiety „maybe” w pubmedqa. Kod projektu znajduje się w repozytorium „When Retrieval Isn't the Problem”.</w:t>
      </w:r>
    </w:p>
    <w:p>
      <w:r>
        <w:rPr>
          <w:b/>
        </w:rPr>
        <w:t>Adresowany problem.</w:t>
      </w:r>
      <w:r>
        <w:t xml:space="preserve"> Modele językowe coraz częściej odpowiadają na pytania medyczne na podstawie literatury naukowej. Odpowiedź musi być oparta na dowodach, a gdy dowody są niejednoznaczne, system powinien to sygnalizować, a nie odpowiadać z pełną pewnością. Projekt sprawdza, czy debata kilku agentów LLM poprawia takie odpowiedzi, a następnie bada, czy powszechnie używany benchmark PubMedQA rzetelnie mierzy rozpoznawanie niepewności (klasa odpowiedzi „maybe”).</w:t>
      </w:r>
    </w:p>
    <w:p>
      <w:r>
        <w:rPr>
          <w:b/>
        </w:rPr>
        <w:t>Obszar zastosowania i rynek.</w:t>
      </w:r>
      <w:r>
        <w:t xml:space="preserve"> Wspomaganie decyzji klinicznych i medycyna oparta na dowodach (evidence-based medicine) oraz badania nad oceną modeli językowych w medycynie. Projekt ma charakter badawczo-rozwojowy: jego głównym odbiorcą jest środowisko naukowe, a w dalszej perspektywie twórcy narzędzi dla lekarzy i badaczy.</w:t>
      </w:r>
    </w:p>
    <w:p>
      <w:r>
        <w:rPr>
          <w:b/>
        </w:rPr>
        <w:t>Cel i zakres produktu.</w:t>
      </w:r>
    </w:p>
    <w:p>
      <w:pPr>
        <w:pStyle w:val="ListBullet"/>
      </w:pPr>
      <w:r>
        <w:t>aplikacja MedChat: interfejs czatu (FastAPI) z wyszukiwaniem w literaturze medycznej (RAG: MedCPT, BM25, Qdrant) i odpowiedziami z cytowaniami;</w:t>
      </w:r>
    </w:p>
    <w:p>
      <w:pPr>
        <w:pStyle w:val="ListBullet"/>
      </w:pPr>
      <w:r>
        <w:t>system debaty agentów LLM: czterech agentów-specjalistów i supervisor, który moderuje dyskusję i wydaje werdykt;</w:t>
      </w:r>
    </w:p>
    <w:p>
      <w:pPr>
        <w:pStyle w:val="ListBullet"/>
      </w:pPr>
      <w:r>
        <w:t>douczony model supervisora (Qwen2.5-14B, QLoRA) oraz klasyfikatory BioLinkBERT;</w:t>
      </w:r>
    </w:p>
    <w:p>
      <w:pPr>
        <w:pStyle w:val="ListBullet"/>
      </w:pPr>
      <w:r>
        <w:t>ewaluacja na PubMedQA oraz analiza statystyczna pochodzenia etykiety „maybe”, przygotowywana jako publikacja naukowa.</w:t>
      </w:r>
    </w:p>
    <w:p>
      <w:r>
        <w:rPr>
          <w:b/>
        </w:rPr>
        <w:t>Ograniczenia.</w:t>
      </w:r>
      <w:r>
        <w:t xml:space="preserve"> Wyłącznie modele open-weight uruchamiane lokalnie (Ollama) na serwerze GPU uczelni; dane publiczne (PubMed, PubMedQA), bez danych pacjentów; teksty w języku angielskim. System jest narzędziem badawczym, a nie wyrobem medycznym, i nie jest przeznaczony do użytku klinicznego.</w:t>
      </w:r>
    </w:p>
    <w:p>
      <w:r>
        <w:rPr>
          <w:b/>
        </w:rPr>
        <w:t>Współpracujące systemy.</w:t>
      </w:r>
      <w:r>
        <w:t xml:space="preserve"> Zbiory PubMed i PubMedQA, serwer modeli Ollama, baza wektorowa Qdrant, modele z Hugging Face, serwer obliczeniowy GPU Politechniki Gdańskiej, Overleaf (tekst publikacji).</w:t>
      </w:r>
    </w:p>
    <w:p>
      <w:r>
        <w:rPr>
          <w:b/>
        </w:rPr>
        <w:t>Termin.</w:t>
      </w:r>
      <w:r>
        <w:t xml:space="preserve"> Semestr zimowy 2026/2027 (przedmiot RPI); termin zgłoszenia publikacji zależy od wyboru konferencji </w:t>
      </w:r>
      <w:r>
        <w:rPr>
          <w:b/>
          <w:color w:val="9A5B00"/>
        </w:rPr>
        <w:t>[do uzupełnienia]</w:t>
      </w:r>
      <w:r>
        <w:t>.</w:t>
      </w:r>
    </w:p>
    <w:p>
      <w:r>
        <w:rPr>
          <w:b/>
        </w:rPr>
        <w:t>Główne etapy projektu</w:t>
      </w:r>
      <w:r>
        <w:t xml:space="preserve"> (na podstawie historii repozytorium):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Okres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Etap</w:t>
            </w:r>
          </w:p>
        </w:tc>
        <w:tc>
          <w:tcPr>
            <w:tcW w:type="dxa" w:w="5216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Główne produkty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</w:r>
            <w:r>
              <w:rPr>
                <w:sz w:val="19"/>
              </w:rPr>
              <w:t>03–06.2026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</w:r>
            <w:r>
              <w:rPr>
                <w:sz w:val="19"/>
              </w:rPr>
              <w:t>Fundament RAG</w:t>
            </w:r>
          </w:p>
        </w:tc>
        <w:tc>
          <w:tcPr>
            <w:tcW w:type="dxa" w:w="5216"/>
          </w:tcPr>
          <w:p>
            <w:r>
              <w:rPr>
                <w:sz w:val="19"/>
              </w:rPr>
            </w:r>
            <w:r>
              <w:rPr>
                <w:sz w:val="19"/>
              </w:rPr>
              <w:t>repozytorium (25.03), aplikacja MedChat, serwis embeddingów MedCPT, Qdrant</w:t>
            </w:r>
          </w:p>
        </w:tc>
      </w:tr>
      <w:tr>
        <w:tc>
          <w:tcPr>
            <w:tcW w:type="dxa" w:w="1701"/>
            <w:shd w:val="clear" w:color="auto" w:fill="E8F1F3"/>
          </w:tcPr>
          <w:p>
            <w:r>
              <w:rPr>
                <w:sz w:val="19"/>
              </w:rPr>
            </w:r>
            <w:r>
              <w:rPr>
                <w:sz w:val="19"/>
              </w:rPr>
              <w:t>05.2026</w:t>
            </w:r>
          </w:p>
        </w:tc>
        <w:tc>
          <w:tcPr>
            <w:tcW w:type="dxa" w:w="2268"/>
            <w:shd w:val="clear" w:color="auto" w:fill="E8F1F3"/>
          </w:tcPr>
          <w:p>
            <w:r>
              <w:rPr>
                <w:sz w:val="19"/>
              </w:rPr>
            </w:r>
            <w:r>
              <w:rPr>
                <w:sz w:val="19"/>
              </w:rPr>
              <w:t>Pierwszy fine-tuning</w:t>
            </w:r>
          </w:p>
        </w:tc>
        <w:tc>
          <w:tcPr>
            <w:tcW w:type="dxa" w:w="5216"/>
            <w:shd w:val="clear" w:color="auto" w:fill="E8F1F3"/>
          </w:tcPr>
          <w:p>
            <w:r>
              <w:rPr>
                <w:sz w:val="19"/>
              </w:rPr>
            </w:r>
            <w:r>
              <w:rPr>
                <w:sz w:val="19"/>
              </w:rPr>
              <w:t>douczenie modelu na pytaniach MedQA (Unsloth)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</w:r>
            <w:r>
              <w:rPr>
                <w:sz w:val="19"/>
              </w:rPr>
              <w:t>07–08.2026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</w:r>
            <w:r>
              <w:rPr>
                <w:sz w:val="19"/>
              </w:rPr>
              <w:t>System wieloagentowy</w:t>
            </w:r>
          </w:p>
        </w:tc>
        <w:tc>
          <w:tcPr>
            <w:tcW w:type="dxa" w:w="5216"/>
          </w:tcPr>
          <w:p>
            <w:r>
              <w:rPr>
                <w:sz w:val="19"/>
              </w:rPr>
            </w:r>
            <w:r>
              <w:rPr>
                <w:sz w:val="19"/>
              </w:rPr>
              <w:t>debata agentów, supervisor, douczenie Qwen2.5-14B jako supervisora</w:t>
            </w:r>
          </w:p>
        </w:tc>
      </w:tr>
      <w:tr>
        <w:tc>
          <w:tcPr>
            <w:tcW w:type="dxa" w:w="1701"/>
            <w:shd w:val="clear" w:color="auto" w:fill="E8F1F3"/>
          </w:tcPr>
          <w:p>
            <w:r>
              <w:rPr>
                <w:sz w:val="19"/>
              </w:rPr>
            </w:r>
            <w:r>
              <w:rPr>
                <w:sz w:val="19"/>
              </w:rPr>
              <w:t>09.2026</w:t>
            </w:r>
          </w:p>
        </w:tc>
        <w:tc>
          <w:tcPr>
            <w:tcW w:type="dxa" w:w="2268"/>
            <w:shd w:val="clear" w:color="auto" w:fill="E8F1F3"/>
          </w:tcPr>
          <w:p>
            <w:r>
              <w:rPr>
                <w:sz w:val="19"/>
              </w:rPr>
            </w:r>
            <w:r>
              <w:rPr>
                <w:sz w:val="19"/>
              </w:rPr>
              <w:t>Zmiana kierunku badań</w:t>
            </w:r>
          </w:p>
        </w:tc>
        <w:tc>
          <w:tcPr>
            <w:tcW w:type="dxa" w:w="5216"/>
            <w:shd w:val="clear" w:color="auto" w:fill="E8F1F3"/>
          </w:tcPr>
          <w:p>
            <w:r>
              <w:rPr>
                <w:sz w:val="19"/>
              </w:rPr>
            </w:r>
            <w:r>
              <w:rPr>
                <w:sz w:val="19"/>
              </w:rPr>
              <w:t>analiza etykiety „maybe” w PubMedQA, plan badań z hipotezami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</w:r>
            <w:r>
              <w:rPr>
                <w:sz w:val="19"/>
              </w:rPr>
              <w:t>09–10.2026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</w:r>
            <w:r>
              <w:rPr>
                <w:sz w:val="19"/>
              </w:rPr>
              <w:t>Eksperymenty</w:t>
            </w:r>
          </w:p>
        </w:tc>
        <w:tc>
          <w:tcPr>
            <w:tcW w:type="dxa" w:w="5216"/>
          </w:tcPr>
          <w:p>
            <w:r>
              <w:rPr>
                <w:sz w:val="19"/>
              </w:rPr>
            </w:r>
            <w:r>
              <w:rPr>
                <w:sz w:val="19"/>
              </w:rPr>
              <w:t>zarejestrowane testy statystyczne, eksperymenty z LLM odtwarzającymi protokół annotacji</w:t>
            </w:r>
          </w:p>
        </w:tc>
      </w:tr>
      <w:tr>
        <w:tc>
          <w:tcPr>
            <w:tcW w:type="dxa" w:w="1701"/>
            <w:shd w:val="clear" w:color="auto" w:fill="E8F1F3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10.2026 – </w:t>
            </w:r>
            <w:r>
              <w:rPr>
                <w:b/>
                <w:color w:val="9A5B00"/>
                <w:sz w:val="19"/>
              </w:rPr>
              <w:t>[do uzupełnienia]</w:t>
            </w:r>
          </w:p>
        </w:tc>
        <w:tc>
          <w:tcPr>
            <w:tcW w:type="dxa" w:w="2268"/>
            <w:shd w:val="clear" w:color="auto" w:fill="E8F1F3"/>
          </w:tcPr>
          <w:p>
            <w:r>
              <w:rPr>
                <w:sz w:val="19"/>
              </w:rPr>
            </w:r>
            <w:r>
              <w:rPr>
                <w:sz w:val="19"/>
              </w:rPr>
              <w:t>Publikacja</w:t>
            </w:r>
          </w:p>
        </w:tc>
        <w:tc>
          <w:tcPr>
            <w:tcW w:type="dxa" w:w="5216"/>
            <w:shd w:val="clear" w:color="auto" w:fill="E8F1F3"/>
          </w:tcPr>
          <w:p>
            <w:r>
              <w:rPr>
                <w:sz w:val="19"/>
              </w:rPr>
            </w:r>
            <w:r>
              <w:rPr>
                <w:sz w:val="19"/>
              </w:rPr>
              <w:t>tekst artykułu, zestawienie wyników (paper/results)</w:t>
            </w:r>
          </w:p>
        </w:tc>
      </w:tr>
    </w:tbl>
    <w:p/>
    <w:p>
      <w:pPr>
        <w:pStyle w:val="Heading1"/>
      </w:pPr>
      <w:r>
        <w:t>2. Interesariusze i użytkownicy</w:t>
      </w:r>
    </w:p>
    <w:p>
      <w:r>
        <w:t>Interesariuszy podzielono według wpływu na projekt i zainteresowania jego wynikami.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381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Interesariusz</w:t>
            </w:r>
          </w:p>
        </w:tc>
        <w:tc>
          <w:tcPr>
            <w:tcW w:type="dxa" w:w="1928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Klasyfikacja</w:t>
            </w:r>
          </w:p>
        </w:tc>
        <w:tc>
          <w:tcPr>
            <w:tcW w:type="dxa" w:w="4876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Opis i potrzeby</w:t>
            </w:r>
          </w:p>
        </w:tc>
      </w:tr>
      <w:tr>
        <w:tc>
          <w:tcPr>
            <w:tcW w:type="dxa" w:w="2381"/>
          </w:tcPr>
          <w:p>
            <w:r>
              <w:rPr>
                <w:sz w:val="19"/>
              </w:rPr>
            </w:r>
            <w:r>
              <w:rPr>
                <w:sz w:val="19"/>
              </w:rPr>
              <w:t>Zespół projektowy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</w:r>
            <w:r>
              <w:rPr>
                <w:sz w:val="19"/>
              </w:rPr>
              <w:t>kluczowy, wewnętrzny</w:t>
            </w:r>
          </w:p>
        </w:tc>
        <w:tc>
          <w:tcPr>
            <w:tcW w:type="dxa" w:w="4876"/>
          </w:tcPr>
          <w:p>
            <w:r>
              <w:rPr>
                <w:sz w:val="19"/>
              </w:rPr>
            </w:r>
            <w:r>
              <w:rPr>
                <w:sz w:val="19"/>
              </w:rPr>
              <w:t>realizuje projekt; potrzebuje jasnego podziału zadań, wspólnego repozytorium i stałego rytmu spotkań</w:t>
            </w:r>
          </w:p>
        </w:tc>
      </w:tr>
      <w:tr>
        <w:tc>
          <w:tcPr>
            <w:tcW w:type="dxa" w:w="2381"/>
            <w:shd w:val="clear" w:color="auto" w:fill="E8F1F3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Opiekun projektu </w:t>
            </w:r>
            <w:r>
              <w:rPr>
                <w:b/>
                <w:color w:val="9A5B00"/>
                <w:sz w:val="19"/>
              </w:rPr>
              <w:t>[do uzupełnienia]</w:t>
            </w:r>
          </w:p>
        </w:tc>
        <w:tc>
          <w:tcPr>
            <w:tcW w:type="dxa" w:w="1928"/>
            <w:shd w:val="clear" w:color="auto" w:fill="E8F1F3"/>
          </w:tcPr>
          <w:p>
            <w:r>
              <w:rPr>
                <w:sz w:val="19"/>
              </w:rPr>
            </w:r>
            <w:r>
              <w:rPr>
                <w:sz w:val="19"/>
              </w:rPr>
              <w:t>kluczowy, decyzyjny</w:t>
            </w:r>
          </w:p>
        </w:tc>
        <w:tc>
          <w:tcPr>
            <w:tcW w:type="dxa" w:w="4876"/>
            <w:shd w:val="clear" w:color="auto" w:fill="E8F1F3"/>
          </w:tcPr>
          <w:p>
            <w:r>
              <w:rPr>
                <w:sz w:val="19"/>
              </w:rPr>
            </w:r>
            <w:r>
              <w:rPr>
                <w:sz w:val="19"/>
              </w:rPr>
              <w:t>zatwierdza kierunek badań i wybór konferencji; potrzebuje regularnych podsumowań wyników</w:t>
            </w:r>
          </w:p>
        </w:tc>
      </w:tr>
      <w:tr>
        <w:tc>
          <w:tcPr>
            <w:tcW w:type="dxa" w:w="2381"/>
          </w:tcPr>
          <w:p>
            <w:r>
              <w:rPr>
                <w:sz w:val="19"/>
              </w:rPr>
            </w:r>
            <w:r>
              <w:rPr>
                <w:sz w:val="19"/>
              </w:rPr>
              <w:t>Prowadzący przedmiot RPI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</w:r>
            <w:r>
              <w:rPr>
                <w:sz w:val="19"/>
              </w:rPr>
              <w:t>wpływowy, oceniający</w:t>
            </w:r>
          </w:p>
        </w:tc>
        <w:tc>
          <w:tcPr>
            <w:tcW w:type="dxa" w:w="4876"/>
          </w:tcPr>
          <w:p>
            <w:r>
              <w:rPr>
                <w:sz w:val="19"/>
              </w:rPr>
            </w:r>
            <w:r>
              <w:rPr>
                <w:sz w:val="19"/>
              </w:rPr>
              <w:t>ocenia organizację i postępy projektu; potrzebuje raportów w ustalonym szablonie</w:t>
            </w:r>
          </w:p>
        </w:tc>
      </w:tr>
      <w:tr>
        <w:tc>
          <w:tcPr>
            <w:tcW w:type="dxa" w:w="2381"/>
            <w:shd w:val="clear" w:color="auto" w:fill="E8F1F3"/>
          </w:tcPr>
          <w:p>
            <w:r>
              <w:rPr>
                <w:sz w:val="19"/>
              </w:rPr>
            </w:r>
            <w:r>
              <w:rPr>
                <w:sz w:val="19"/>
              </w:rPr>
              <w:t>Recenzenci i środowisko naukowe</w:t>
            </w:r>
          </w:p>
        </w:tc>
        <w:tc>
          <w:tcPr>
            <w:tcW w:type="dxa" w:w="1928"/>
            <w:shd w:val="clear" w:color="auto" w:fill="E8F1F3"/>
          </w:tcPr>
          <w:p>
            <w:r>
              <w:rPr>
                <w:sz w:val="19"/>
              </w:rPr>
            </w:r>
            <w:r>
              <w:rPr>
                <w:sz w:val="19"/>
              </w:rPr>
              <w:t>wpływowy, zewnętrzny</w:t>
            </w:r>
          </w:p>
        </w:tc>
        <w:tc>
          <w:tcPr>
            <w:tcW w:type="dxa" w:w="4876"/>
            <w:shd w:val="clear" w:color="auto" w:fill="E8F1F3"/>
          </w:tcPr>
          <w:p>
            <w:r>
              <w:rPr>
                <w:sz w:val="19"/>
              </w:rPr>
            </w:r>
            <w:r>
              <w:rPr>
                <w:sz w:val="19"/>
              </w:rPr>
              <w:t>oceniają publikację; potrzebują powtarzalnych, statystycznie uzasadnionych wyników</w:t>
            </w:r>
          </w:p>
        </w:tc>
      </w:tr>
      <w:tr>
        <w:tc>
          <w:tcPr>
            <w:tcW w:type="dxa" w:w="2381"/>
          </w:tcPr>
          <w:p>
            <w:r>
              <w:rPr>
                <w:sz w:val="19"/>
              </w:rPr>
            </w:r>
            <w:r>
              <w:rPr>
                <w:sz w:val="19"/>
              </w:rPr>
              <w:t>Administratorzy serwera GPU uczelni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</w:r>
            <w:r>
              <w:rPr>
                <w:sz w:val="19"/>
              </w:rPr>
              <w:t>wspierający</w:t>
            </w:r>
          </w:p>
        </w:tc>
        <w:tc>
          <w:tcPr>
            <w:tcW w:type="dxa" w:w="4876"/>
          </w:tcPr>
          <w:p>
            <w:r>
              <w:rPr>
                <w:sz w:val="19"/>
              </w:rPr>
            </w:r>
            <w:r>
              <w:rPr>
                <w:sz w:val="19"/>
              </w:rPr>
              <w:t>udostępniają infrastrukturę; potrzebują rozsądnego korzystania z zasobów współdzielonych</w:t>
            </w:r>
          </w:p>
        </w:tc>
      </w:tr>
    </w:tbl>
    <w:p/>
    <w:p>
      <w:r>
        <w:rPr>
          <w:b/>
        </w:rPr>
        <w:t>Użytkownicy końcowi.</w:t>
      </w:r>
    </w:p>
    <w:p>
      <w:pPr>
        <w:pStyle w:val="ListBullet"/>
      </w:pPr>
      <w:r>
        <w:rPr>
          <w:b/>
        </w:rPr>
        <w:t>badacze NLP w medycynie i twórcy benchmarków:</w:t>
      </w:r>
      <w:r>
        <w:t xml:space="preserve"> korzystają z wniosków o trafności PubMedQA i z kodu analiz;</w:t>
      </w:r>
    </w:p>
    <w:p>
      <w:pPr>
        <w:pStyle w:val="ListBullet"/>
      </w:pPr>
      <w:r>
        <w:rPr>
          <w:b/>
        </w:rPr>
        <w:t>twórcy systemów wspomagania decyzji klinicznych:</w:t>
      </w:r>
      <w:r>
        <w:t xml:space="preserve"> korzystają z architektury debaty i z wyników o odmowie odpowiedzi przy niepewnych dowodach;</w:t>
      </w:r>
    </w:p>
    <w:p>
      <w:pPr>
        <w:pStyle w:val="ListBullet"/>
      </w:pPr>
      <w:r>
        <w:rPr>
          <w:b/>
        </w:rPr>
        <w:t>lekarze i badacze kliniczni (w dalszej perspektywie):</w:t>
      </w:r>
      <w:r>
        <w:t xml:space="preserve"> użytkownicy czatu MedChat, potrzebujący odpowiedzi z cytowaniami i sygnalizacji niepewności.</w:t>
      </w:r>
    </w:p>
    <w:p>
      <w:pPr>
        <w:pStyle w:val="Heading1"/>
      </w:pPr>
      <w:r>
        <w:t>3. Zespół</w:t>
      </w:r>
    </w:p>
    <w:p>
      <w:r>
        <w:t>Zespół liczy cztery osoby. Obszary odpowiedzialności wynikają z dotychczasowego podziału pracy widocznego w repozytorium.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041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Osoba</w:t>
            </w:r>
          </w:p>
        </w:tc>
        <w:tc>
          <w:tcPr>
            <w:tcW w:type="dxa" w:w="4422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Obszar odpowiedzialności</w:t>
            </w:r>
          </w:p>
        </w:tc>
        <w:tc>
          <w:tcPr>
            <w:tcW w:type="dxa" w:w="2721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Umiejętności</w:t>
            </w:r>
          </w:p>
        </w:tc>
      </w:tr>
      <w:tr>
        <w:tc>
          <w:tcPr>
            <w:tcW w:type="dxa" w:w="2041"/>
          </w:tcPr>
          <w:p>
            <w:r>
              <w:rPr>
                <w:sz w:val="19"/>
              </w:rPr>
            </w:r>
            <w:r>
              <w:rPr>
                <w:sz w:val="19"/>
              </w:rPr>
              <w:t>Antoni Kwiatek</w:t>
            </w:r>
          </w:p>
        </w:tc>
        <w:tc>
          <w:tcPr>
            <w:tcW w:type="dxa" w:w="4422"/>
          </w:tcPr>
          <w:p>
            <w:r>
              <w:rPr>
                <w:sz w:val="19"/>
              </w:rPr>
            </w:r>
            <w:r>
              <w:rPr>
                <w:sz w:val="19"/>
              </w:rPr>
              <w:t>aplikacja MedChat i architektura RAG, klasyfikatory dowodów, struktura repozytorium; właściciel repozytorium na GitHubie</w:t>
            </w:r>
          </w:p>
        </w:tc>
        <w:tc>
          <w:tcPr>
            <w:tcW w:type="dxa" w:w="2721"/>
          </w:tcPr>
          <w:p>
            <w:r>
              <w:rPr>
                <w:sz w:val="19"/>
              </w:rPr>
            </w:r>
            <w:r>
              <w:rPr>
                <w:sz w:val="19"/>
              </w:rPr>
              <w:t>Python, FastAPI, RAG, PyTorch, Transformers</w:t>
            </w:r>
          </w:p>
        </w:tc>
      </w:tr>
      <w:tr>
        <w:tc>
          <w:tcPr>
            <w:tcW w:type="dxa" w:w="2041"/>
            <w:shd w:val="clear" w:color="auto" w:fill="E8F1F3"/>
          </w:tcPr>
          <w:p>
            <w:r>
              <w:rPr>
                <w:sz w:val="19"/>
              </w:rPr>
            </w:r>
            <w:r>
              <w:rPr>
                <w:sz w:val="19"/>
              </w:rPr>
              <w:t>Grzegorz Horbaczewski</w:t>
            </w:r>
          </w:p>
        </w:tc>
        <w:tc>
          <w:tcPr>
            <w:tcW w:type="dxa" w:w="4422"/>
            <w:shd w:val="clear" w:color="auto" w:fill="E8F1F3"/>
          </w:tcPr>
          <w:p>
            <w:r>
              <w:rPr>
                <w:sz w:val="19"/>
              </w:rPr>
            </w:r>
            <w:r>
              <w:rPr>
                <w:sz w:val="19"/>
              </w:rPr>
              <w:t>serwis embeddingów MedCPT, baza wektorowa (Weaviate, następnie Qdrant), benchmark embeddingów</w:t>
            </w:r>
          </w:p>
        </w:tc>
        <w:tc>
          <w:tcPr>
            <w:tcW w:type="dxa" w:w="2721"/>
            <w:shd w:val="clear" w:color="auto" w:fill="E8F1F3"/>
          </w:tcPr>
          <w:p>
            <w:r>
              <w:rPr>
                <w:sz w:val="19"/>
              </w:rPr>
            </w:r>
            <w:r>
              <w:rPr>
                <w:sz w:val="19"/>
              </w:rPr>
              <w:t>wyszukiwanie wektorowe, Qdrant, Docker</w:t>
            </w:r>
          </w:p>
        </w:tc>
      </w:tr>
      <w:tr>
        <w:tc>
          <w:tcPr>
            <w:tcW w:type="dxa" w:w="2041"/>
          </w:tcPr>
          <w:p>
            <w:r>
              <w:rPr>
                <w:sz w:val="19"/>
              </w:rPr>
            </w:r>
            <w:r>
              <w:rPr>
                <w:sz w:val="19"/>
              </w:rPr>
              <w:t>Kamil Łapacz</w:t>
            </w:r>
          </w:p>
        </w:tc>
        <w:tc>
          <w:tcPr>
            <w:tcW w:type="dxa" w:w="4422"/>
          </w:tcPr>
          <w:p>
            <w:r>
              <w:rPr>
                <w:sz w:val="19"/>
              </w:rPr>
            </w:r>
            <w:r>
              <w:rPr>
                <w:sz w:val="19"/>
              </w:rPr>
              <w:t>architektura debaty agentów i supervisor, fine-tuning (Unsloth, QLoRA), testy statystyczne, plan badań i zestawienie wyników</w:t>
            </w:r>
          </w:p>
        </w:tc>
        <w:tc>
          <w:tcPr>
            <w:tcW w:type="dxa" w:w="2721"/>
          </w:tcPr>
          <w:p>
            <w:r>
              <w:rPr>
                <w:sz w:val="19"/>
              </w:rPr>
            </w:r>
            <w:r>
              <w:rPr>
                <w:sz w:val="19"/>
              </w:rPr>
              <w:t>Python, PyTorch, Unsloth, Ollama, statystyka</w:t>
            </w:r>
          </w:p>
        </w:tc>
      </w:tr>
      <w:tr>
        <w:tc>
          <w:tcPr>
            <w:tcW w:type="dxa" w:w="2041"/>
            <w:shd w:val="clear" w:color="auto" w:fill="E8F1F3"/>
          </w:tcPr>
          <w:p>
            <w:r>
              <w:rPr>
                <w:sz w:val="19"/>
              </w:rPr>
            </w:r>
            <w:r>
              <w:rPr>
                <w:sz w:val="19"/>
              </w:rPr>
              <w:t>Wiktor Tężycki</w:t>
            </w:r>
          </w:p>
        </w:tc>
        <w:tc>
          <w:tcPr>
            <w:tcW w:type="dxa" w:w="4422"/>
            <w:shd w:val="clear" w:color="auto" w:fill="E8F1F3"/>
          </w:tcPr>
          <w:p>
            <w:r>
              <w:rPr>
                <w:sz w:val="19"/>
              </w:rPr>
            </w:r>
            <w:r>
              <w:rPr>
                <w:sz w:val="19"/>
              </w:rPr>
              <w:t>etapy pre- i post-retrieval, audyt protokołu PubMedQA, analizy jakościowe i dodatkowe pytania badawcze</w:t>
            </w:r>
          </w:p>
        </w:tc>
        <w:tc>
          <w:tcPr>
            <w:tcW w:type="dxa" w:w="2721"/>
            <w:shd w:val="clear" w:color="auto" w:fill="E8F1F3"/>
          </w:tcPr>
          <w:p>
            <w:r>
              <w:rPr>
                <w:sz w:val="19"/>
              </w:rPr>
            </w:r>
            <w:r>
              <w:rPr>
                <w:sz w:val="19"/>
              </w:rPr>
              <w:t>Python, RAG, analiza danych</w:t>
            </w:r>
          </w:p>
        </w:tc>
      </w:tr>
    </w:tbl>
    <w:p/>
    <w:p>
      <w:r>
        <w:rPr>
          <w:b/>
        </w:rPr>
        <w:t>Sposób pracy.</w:t>
      </w:r>
      <w:r>
        <w:t xml:space="preserve"> Praca w rozproszeniu: na co dzień zdalnie przez Discord i GitHub, z cotygodniowymi spotkaniami zespołu </w:t>
      </w:r>
      <w:r>
        <w:rPr>
          <w:b/>
          <w:color w:val="9A5B00"/>
        </w:rPr>
        <w:t>[do uzupełnienia]</w:t>
      </w:r>
      <w:r>
        <w:t>. Obliczenia wykonywane są zdalnie (SSH) na serwerze GPU uczelni.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FF4D6"/>
          </w:tcPr>
          <w:p>
            <w:pPr>
              <w:spacing w:before="360" w:after="360"/>
              <w:jc w:val="center"/>
            </w:pPr>
            <w:r>
              <w:rPr>
                <w:b/>
                <w:color w:val="9A5B00"/>
              </w:rPr>
              <w:t>[do uzupełnienia: zrzut ekranu z serwera Discord zespołu]</w:t>
            </w:r>
          </w:p>
        </w:tc>
      </w:tr>
    </w:tbl>
    <w:p/>
    <w:p>
      <w:pPr>
        <w:pStyle w:val="Heading1"/>
      </w:pPr>
      <w:r>
        <w:t>4. Komunikacja w zespole i z interesariuszami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381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Spotkanie / kanał</w:t>
            </w:r>
          </w:p>
        </w:tc>
        <w:tc>
          <w:tcPr>
            <w:tcW w:type="dxa" w:w="2041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Kiedy</w:t>
            </w:r>
          </w:p>
        </w:tc>
        <w:tc>
          <w:tcPr>
            <w:tcW w:type="dxa" w:w="1928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Gdzie</w:t>
            </w:r>
          </w:p>
        </w:tc>
        <w:tc>
          <w:tcPr>
            <w:tcW w:type="dxa" w:w="2835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Cel</w:t>
            </w:r>
          </w:p>
        </w:tc>
      </w:tr>
      <w:tr>
        <w:tc>
          <w:tcPr>
            <w:tcW w:type="dxa" w:w="2381"/>
          </w:tcPr>
          <w:p>
            <w:r>
              <w:rPr>
                <w:sz w:val="19"/>
              </w:rPr>
            </w:r>
            <w:r>
              <w:rPr>
                <w:sz w:val="19"/>
              </w:rPr>
              <w:t>Spotkanie zespołu</w:t>
            </w:r>
          </w:p>
        </w:tc>
        <w:tc>
          <w:tcPr>
            <w:tcW w:type="dxa" w:w="2041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co tydzień, </w:t>
            </w:r>
            <w:r>
              <w:rPr>
                <w:b/>
                <w:color w:val="9A5B00"/>
                <w:sz w:val="19"/>
              </w:rPr>
              <w:t>[do uzupełnienia]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Discord </w:t>
            </w:r>
            <w:r>
              <w:rPr>
                <w:b/>
                <w:color w:val="9A5B00"/>
                <w:sz w:val="19"/>
              </w:rPr>
              <w:t>[do uzupełnienia]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</w:r>
            <w:r>
              <w:rPr>
                <w:sz w:val="19"/>
              </w:rPr>
              <w:t>postępy, podział zadań, blokery</w:t>
            </w:r>
          </w:p>
        </w:tc>
      </w:tr>
      <w:tr>
        <w:tc>
          <w:tcPr>
            <w:tcW w:type="dxa" w:w="2381"/>
            <w:shd w:val="clear" w:color="auto" w:fill="E8F1F3"/>
          </w:tcPr>
          <w:p>
            <w:r>
              <w:rPr>
                <w:sz w:val="19"/>
              </w:rPr>
            </w:r>
            <w:r>
              <w:rPr>
                <w:sz w:val="19"/>
              </w:rPr>
              <w:t>Spotkanie z opiekunem</w:t>
            </w:r>
          </w:p>
        </w:tc>
        <w:tc>
          <w:tcPr>
            <w:tcW w:type="dxa" w:w="2041"/>
            <w:shd w:val="clear" w:color="auto" w:fill="E8F1F3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co 2 tygodnie, </w:t>
            </w:r>
            <w:r>
              <w:rPr>
                <w:b/>
                <w:color w:val="9A5B00"/>
                <w:sz w:val="19"/>
              </w:rPr>
              <w:t>[do uzupełnienia]</w:t>
            </w:r>
          </w:p>
        </w:tc>
        <w:tc>
          <w:tcPr>
            <w:tcW w:type="dxa" w:w="1928"/>
            <w:shd w:val="clear" w:color="auto" w:fill="E8F1F3"/>
          </w:tcPr>
          <w:p>
            <w:r>
              <w:rPr>
                <w:sz w:val="19"/>
              </w:rPr>
            </w:r>
            <w:r>
              <w:rPr>
                <w:b/>
                <w:color w:val="9A5B00"/>
                <w:sz w:val="19"/>
              </w:rPr>
              <w:t>[do uzupełnienia]</w:t>
            </w:r>
          </w:p>
        </w:tc>
        <w:tc>
          <w:tcPr>
            <w:tcW w:type="dxa" w:w="2835"/>
            <w:shd w:val="clear" w:color="auto" w:fill="E8F1F3"/>
          </w:tcPr>
          <w:p>
            <w:r>
              <w:rPr>
                <w:sz w:val="19"/>
              </w:rPr>
            </w:r>
            <w:r>
              <w:rPr>
                <w:sz w:val="19"/>
              </w:rPr>
              <w:t>przegląd wyników, decyzje o kierunku badań</w:t>
            </w:r>
          </w:p>
        </w:tc>
      </w:tr>
      <w:tr>
        <w:tc>
          <w:tcPr>
            <w:tcW w:type="dxa" w:w="2381"/>
          </w:tcPr>
          <w:p>
            <w:r>
              <w:rPr>
                <w:sz w:val="19"/>
              </w:rPr>
            </w:r>
            <w:r>
              <w:rPr>
                <w:sz w:val="19"/>
              </w:rPr>
              <w:t>Discord: komunikacja bieżąca</w:t>
            </w:r>
          </w:p>
        </w:tc>
        <w:tc>
          <w:tcPr>
            <w:tcW w:type="dxa" w:w="2041"/>
          </w:tcPr>
          <w:p>
            <w:r>
              <w:rPr>
                <w:sz w:val="19"/>
              </w:rPr>
            </w:r>
            <w:r>
              <w:rPr>
                <w:sz w:val="19"/>
              </w:rPr>
              <w:t>na bieżąco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</w:r>
            <w:r>
              <w:rPr>
                <w:sz w:val="19"/>
              </w:rPr>
              <w:t>serwer zespołu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</w:r>
            <w:r>
              <w:rPr>
                <w:sz w:val="19"/>
              </w:rPr>
              <w:t>pytania, ustalenia, wymiana materiałów</w:t>
            </w:r>
          </w:p>
        </w:tc>
      </w:tr>
      <w:tr>
        <w:tc>
          <w:tcPr>
            <w:tcW w:type="dxa" w:w="2381"/>
            <w:shd w:val="clear" w:color="auto" w:fill="E8F1F3"/>
          </w:tcPr>
          <w:p>
            <w:r>
              <w:rPr>
                <w:sz w:val="19"/>
              </w:rPr>
            </w:r>
            <w:r>
              <w:rPr>
                <w:sz w:val="19"/>
              </w:rPr>
              <w:t>GitHub: pull requesty</w:t>
            </w:r>
          </w:p>
        </w:tc>
        <w:tc>
          <w:tcPr>
            <w:tcW w:type="dxa" w:w="2041"/>
            <w:shd w:val="clear" w:color="auto" w:fill="E8F1F3"/>
          </w:tcPr>
          <w:p>
            <w:r>
              <w:rPr>
                <w:sz w:val="19"/>
              </w:rPr>
            </w:r>
            <w:r>
              <w:rPr>
                <w:sz w:val="19"/>
              </w:rPr>
              <w:t>przy każdej zmianie kodu</w:t>
            </w:r>
          </w:p>
        </w:tc>
        <w:tc>
          <w:tcPr>
            <w:tcW w:type="dxa" w:w="1928"/>
            <w:shd w:val="clear" w:color="auto" w:fill="E8F1F3"/>
          </w:tcPr>
          <w:p>
            <w:r>
              <w:rPr>
                <w:sz w:val="19"/>
              </w:rPr>
            </w:r>
            <w:r>
              <w:rPr>
                <w:sz w:val="19"/>
              </w:rPr>
              <w:t>repozytorium projektu</w:t>
            </w:r>
          </w:p>
        </w:tc>
        <w:tc>
          <w:tcPr>
            <w:tcW w:type="dxa" w:w="2835"/>
            <w:shd w:val="clear" w:color="auto" w:fill="E8F1F3"/>
          </w:tcPr>
          <w:p>
            <w:r>
              <w:rPr>
                <w:sz w:val="19"/>
              </w:rPr>
            </w:r>
            <w:r>
              <w:rPr>
                <w:sz w:val="19"/>
              </w:rPr>
              <w:t>przegląd kodu, scalanie gałęzi</w:t>
            </w:r>
          </w:p>
        </w:tc>
      </w:tr>
    </w:tbl>
    <w:p/>
    <w:p>
      <w:r>
        <w:rPr>
          <w:b/>
        </w:rPr>
        <w:t>Przygotowanie spotkań.</w:t>
      </w:r>
      <w:r>
        <w:t xml:space="preserve"> Przed spotkaniem przygotowywana jest agenda w repozytorium (np. docs/research/2026-10-06-agenda-spotkania.md). Po spotkaniu ustalenia trafiają do planu badań (docs/research/PLAN-badan-maybe-2026-09.md), do tabeli otwartych pytań z przypisaną osobą.</w:t>
      </w:r>
    </w:p>
    <w:p>
      <w:r>
        <w:rPr>
          <w:b/>
        </w:rPr>
        <w:t>Komunikacja z opiekunem.</w:t>
      </w:r>
      <w:r>
        <w:t xml:space="preserve"> Na spotkania z opiekunem przygotowywane jest podsumowanie wyników w formie strony HTML (docs/research/2026-10-11-recap-dla-opiekuna.html), z odnośnikami do źródeł liczb. Pozostała komunikacja: Discord lub e-mail uczelniany.</w:t>
      </w:r>
    </w:p>
    <w:p>
      <w:r>
        <w:rPr>
          <w:b/>
        </w:rPr>
        <w:t>Komunikacja z otoczeniem projektu.</w:t>
      </w:r>
      <w:r>
        <w:t xml:space="preserve"> Wyniki trafiają do środowiska naukowego przez publikację; kod i dane analiz są w repozytorium, a przy zgłoszeniu pracy zostaną udostępnione publicznie (np. Zenodo lub Hugging Face).</w:t>
      </w:r>
    </w:p>
    <w:p>
      <w:pPr>
        <w:pStyle w:val="Heading1"/>
      </w:pPr>
      <w:r>
        <w:t>5. Repozytorium kodu</w:t>
      </w:r>
    </w:p>
    <w:p>
      <w:r>
        <w:rPr>
          <w:b/>
        </w:rPr>
        <w:t>Adres repozytorium:</w:t>
      </w:r>
      <w:r>
        <w:t xml:space="preserve"> https://github.com/Kwiatek47/When-Retrieval-Isn-t-the-Problem (GitHub, system kontroli wersji Git).</w:t>
      </w:r>
    </w:p>
    <w:p>
      <w:r>
        <w:rPr>
          <w:b/>
        </w:rPr>
        <w:t>Osoba odpowiedzialna za konfigurację i utrzymanie:</w:t>
      </w:r>
      <w:r>
        <w:t xml:space="preserve"> Antoni Kwiatek (właściciel repozytorium) </w:t>
      </w:r>
      <w:r>
        <w:rPr>
          <w:b/>
          <w:color w:val="9A5B00"/>
        </w:rPr>
        <w:t>[do potwierdzenia]</w:t>
      </w:r>
      <w:r>
        <w:t>.</w:t>
      </w:r>
    </w:p>
    <w:p>
      <w:r>
        <w:rPr>
          <w:b/>
        </w:rPr>
        <w:t>Zasady pracy z repozytorium:</w:t>
      </w:r>
    </w:p>
    <w:p>
      <w:pPr>
        <w:pStyle w:val="ListBullet"/>
      </w:pPr>
      <w:r>
        <w:t>gałąź main jako wersja stabilna; zmiany na gałęziach tematycznych z prefiksem typu (feat/, feature/, fix/, chore/) albo inicjałami autora (np. klap/, grho/);</w:t>
      </w:r>
    </w:p>
    <w:p>
      <w:pPr>
        <w:pStyle w:val="ListBullet"/>
      </w:pPr>
      <w:r>
        <w:t>scalanie do main przez pull requesty (dotychczas 16 scalonych, numeracja do #22);</w:t>
      </w:r>
    </w:p>
    <w:p>
      <w:pPr>
        <w:pStyle w:val="ListBullet"/>
      </w:pPr>
      <w:r>
        <w:t>opisy commitów w konwencji Conventional Commits, np. feat(agents): …, docs(research): …, fix(agents): …;</w:t>
      </w:r>
    </w:p>
    <w:p>
      <w:pPr>
        <w:pStyle w:val="ListBullet"/>
      </w:pPr>
      <w:r>
        <w:t>duże pliki (modele, dane surowe, wyniki pośrednie) poza Gitem, zgodnie z .gitignore; do repozytorium trafiają tylko wyniki cytowane w publikacji (paper/results);</w:t>
      </w:r>
    </w:p>
    <w:p>
      <w:pPr>
        <w:pStyle w:val="ListBullet"/>
      </w:pPr>
      <w:r>
        <w:t>testy jednostkowe (pytest) w katalogu tests/ uruchamiane przed scaleniem zmian.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FF4D6"/>
          </w:tcPr>
          <w:p>
            <w:pPr>
              <w:spacing w:before="360" w:after="360"/>
              <w:jc w:val="center"/>
            </w:pPr>
            <w:r>
              <w:rPr>
                <w:b/>
                <w:color w:val="9A5B00"/>
              </w:rPr>
              <w:t>[do uzupełnienia: zrzut ekranu repozytorium na GitHubie z widocznymi członkami zespołu]</w:t>
            </w:r>
          </w:p>
        </w:tc>
      </w:tr>
    </w:tbl>
    <w:p/>
    <w:p>
      <w:pPr>
        <w:pStyle w:val="Heading1"/>
      </w:pPr>
      <w:r>
        <w:t>6. Dokumentacja i szablon dokumentów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649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Rodzaj dokumentu</w:t>
            </w:r>
          </w:p>
        </w:tc>
        <w:tc>
          <w:tcPr>
            <w:tcW w:type="dxa" w:w="4535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Miejsce przechowywania</w:t>
            </w:r>
          </w:p>
        </w:tc>
      </w:tr>
      <w:tr>
        <w:tc>
          <w:tcPr>
            <w:tcW w:type="dxa" w:w="4649"/>
          </w:tcPr>
          <w:p>
            <w:r>
              <w:rPr>
                <w:sz w:val="19"/>
              </w:rPr>
            </w:r>
            <w:r>
              <w:rPr>
                <w:sz w:val="19"/>
              </w:rPr>
              <w:t>Dokumentacja techniczna i badawcza (plan badań, notatki, agendy)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</w:r>
            <w:r>
              <w:rPr>
                <w:sz w:val="19"/>
              </w:rPr>
              <w:t>repozytorium Git, katalog docs/ (Markdown)</w:t>
            </w:r>
          </w:p>
        </w:tc>
      </w:tr>
      <w:tr>
        <w:tc>
          <w:tcPr>
            <w:tcW w:type="dxa" w:w="4649"/>
            <w:shd w:val="clear" w:color="auto" w:fill="E8F1F3"/>
          </w:tcPr>
          <w:p>
            <w:r>
              <w:rPr>
                <w:sz w:val="19"/>
              </w:rPr>
            </w:r>
            <w:r>
              <w:rPr>
                <w:sz w:val="19"/>
              </w:rPr>
              <w:t>Tekst publikacji naukowej</w:t>
            </w:r>
          </w:p>
        </w:tc>
        <w:tc>
          <w:tcPr>
            <w:tcW w:type="dxa" w:w="4535"/>
            <w:shd w:val="clear" w:color="auto" w:fill="E8F1F3"/>
          </w:tcPr>
          <w:p>
            <w:r>
              <w:rPr>
                <w:sz w:val="19"/>
              </w:rPr>
            </w:r>
            <w:r>
              <w:rPr>
                <w:sz w:val="19"/>
              </w:rPr>
              <w:t>Overleaf (LaTeX)</w:t>
            </w:r>
          </w:p>
        </w:tc>
      </w:tr>
      <w:tr>
        <w:tc>
          <w:tcPr>
            <w:tcW w:type="dxa" w:w="4649"/>
          </w:tcPr>
          <w:p>
            <w:r>
              <w:rPr>
                <w:sz w:val="19"/>
              </w:rPr>
            </w:r>
            <w:r>
              <w:rPr>
                <w:sz w:val="19"/>
              </w:rPr>
              <w:t>Wyniki cytowane w publikacji wraz z manifestem źródeł liczb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</w:r>
            <w:r>
              <w:rPr>
                <w:sz w:val="19"/>
              </w:rPr>
              <w:t>repozytorium Git, katalog paper/results/</w:t>
            </w:r>
          </w:p>
        </w:tc>
      </w:tr>
      <w:tr>
        <w:tc>
          <w:tcPr>
            <w:tcW w:type="dxa" w:w="4649"/>
            <w:shd w:val="clear" w:color="auto" w:fill="E8F1F3"/>
          </w:tcPr>
          <w:p>
            <w:r>
              <w:rPr>
                <w:sz w:val="19"/>
              </w:rPr>
            </w:r>
            <w:r>
              <w:rPr>
                <w:sz w:val="19"/>
              </w:rPr>
              <w:t>Raporty na przedmiot RPI</w:t>
            </w:r>
          </w:p>
        </w:tc>
        <w:tc>
          <w:tcPr>
            <w:tcW w:type="dxa" w:w="4535"/>
            <w:shd w:val="clear" w:color="auto" w:fill="E8F1F3"/>
          </w:tcPr>
          <w:p>
            <w:r>
              <w:rPr>
                <w:sz w:val="19"/>
              </w:rPr>
            </w:r>
            <w:r>
              <w:rPr>
                <w:sz w:val="19"/>
              </w:rPr>
              <w:t>repozytorium Git, katalog docs/rpi/, w szablonie projektu (.docx)</w:t>
            </w:r>
          </w:p>
        </w:tc>
      </w:tr>
    </w:tbl>
    <w:p/>
    <w:p>
      <w:r>
        <w:rPr>
          <w:b/>
        </w:rPr>
        <w:t>Osoba odpowiedzialna za porządek w dokumentacji:</w:t>
      </w:r>
      <w:r>
        <w:t xml:space="preserve"> Kamil Łapacz (prowadzi plan badań i zestawienie wyników) </w:t>
      </w:r>
      <w:r>
        <w:rPr>
          <w:b/>
          <w:color w:val="9A5B00"/>
        </w:rPr>
        <w:t>[do potwierdzenia]</w:t>
      </w:r>
      <w:r>
        <w:t>.</w:t>
      </w:r>
    </w:p>
    <w:p>
      <w:r>
        <w:rPr>
          <w:b/>
        </w:rPr>
        <w:t>Schemat nazewnictwa dokumentów i plików:</w:t>
      </w:r>
    </w:p>
    <w:p>
      <w:pPr>
        <w:pStyle w:val="ListBullet"/>
      </w:pPr>
      <w:r>
        <w:t>notatki i raporty robocze: docs/research/RRRR-MM-DD-temat.md (np. 2026-10-06-agenda-spotkania.md);</w:t>
      </w:r>
    </w:p>
    <w:p>
      <w:pPr>
        <w:pStyle w:val="ListBullet"/>
      </w:pPr>
      <w:r>
        <w:t>dokumenty stałe: wielkie litery z tematem i miesiącem, np. PLAN-badan-maybe-2026-09.md;</w:t>
      </w:r>
    </w:p>
    <w:p>
      <w:pPr>
        <w:pStyle w:val="ListBullet"/>
      </w:pPr>
      <w:r>
        <w:t>raporty RPI: RPI_2026-2027_MedChat_&lt;Nazwa-dokumentu&gt;_v&lt;wersja&gt;.docx;</w:t>
      </w:r>
    </w:p>
    <w:p>
      <w:pPr>
        <w:pStyle w:val="ListBullet"/>
      </w:pPr>
      <w:r>
        <w:t>wyniki: nazwa analizy w formacie snake_case, np. h2_human_ceiling.json; rysunki w paper/results/figures/.</w:t>
      </w:r>
    </w:p>
    <w:p>
      <w:r>
        <w:rPr>
          <w:b/>
        </w:rPr>
        <w:t>Szablon dokumentu projektu.</w:t>
      </w:r>
      <w:r>
        <w:t xml:space="preserve"> Szablon (plik RPI_2026-2027_MedChat_Szablon-dokumentu.docx) zawiera:</w:t>
      </w:r>
    </w:p>
    <w:p>
      <w:pPr>
        <w:pStyle w:val="ListBullet"/>
      </w:pPr>
      <w:r>
        <w:t>stronę tytułową z pasem w kolorach projektu, nazwą przedmiotu i jednostki, nazwą projektu i dokumentu oraz tabelą metadanych: wersja, data, status, autorzy, opiekun, repozytorium;</w:t>
      </w:r>
    </w:p>
    <w:p>
      <w:pPr>
        <w:pStyle w:val="ListBullet"/>
      </w:pPr>
      <w:r>
        <w:t>nagłówek na kolejnych stronach: nazwa projektu i dokumentu oraz nazwa przedmiotu;</w:t>
      </w:r>
    </w:p>
    <w:p>
      <w:pPr>
        <w:pStyle w:val="ListBullet"/>
      </w:pPr>
      <w:r>
        <w:t>stopkę: wersja, data, uczelnia oraz numer strony w formacie „Strona X z Y”;</w:t>
      </w:r>
    </w:p>
    <w:p>
      <w:pPr>
        <w:pStyle w:val="ListBullet"/>
      </w:pPr>
      <w:r>
        <w:t>tabelę historii zmian i automatyczny spis treści;</w:t>
      </w:r>
    </w:p>
    <w:p>
      <w:pPr>
        <w:pStyle w:val="ListBullet"/>
      </w:pPr>
      <w:r>
        <w:t>identyfikację wizualną: granat (#1F3A5F) i morski (#2A7F8F), krój Calibri, jednolite style nagłówków i tabel.</w:t>
      </w:r>
    </w:p>
    <w:p>
      <w:r>
        <w:rPr>
          <w:i/>
        </w:rPr>
        <w:t>Niniejszy raport został przygotowany w tym szablonie.</w:t>
      </w:r>
    </w:p>
    <w:p>
      <w:pPr>
        <w:pStyle w:val="Heading1"/>
      </w:pPr>
      <w:r>
        <w:t>7. Narzędzia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608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Obszar</w:t>
            </w:r>
          </w:p>
        </w:tc>
        <w:tc>
          <w:tcPr>
            <w:tcW w:type="dxa" w:w="6576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Narzędzia</w:t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  <w:r>
              <w:rPr>
                <w:sz w:val="19"/>
              </w:rPr>
              <w:t>Komunikacja</w:t>
            </w:r>
          </w:p>
        </w:tc>
        <w:tc>
          <w:tcPr>
            <w:tcW w:type="dxa" w:w="6576"/>
          </w:tcPr>
          <w:p>
            <w:r>
              <w:rPr>
                <w:sz w:val="19"/>
              </w:rPr>
            </w:r>
            <w:r>
              <w:rPr>
                <w:sz w:val="19"/>
              </w:rPr>
              <w:t>Discord (komunikacja bieżąca, spotkania zdalne), e-mail uczelniany</w:t>
            </w:r>
          </w:p>
        </w:tc>
      </w:tr>
      <w:tr>
        <w:tc>
          <w:tcPr>
            <w:tcW w:type="dxa" w:w="2608"/>
            <w:shd w:val="clear" w:color="auto" w:fill="E8F1F3"/>
          </w:tcPr>
          <w:p>
            <w:r>
              <w:rPr>
                <w:sz w:val="19"/>
              </w:rPr>
            </w:r>
            <w:r>
              <w:rPr>
                <w:sz w:val="19"/>
              </w:rPr>
              <w:t>Kod i kontrola wersji</w:t>
            </w:r>
          </w:p>
        </w:tc>
        <w:tc>
          <w:tcPr>
            <w:tcW w:type="dxa" w:w="6576"/>
            <w:shd w:val="clear" w:color="auto" w:fill="E8F1F3"/>
          </w:tcPr>
          <w:p>
            <w:r>
              <w:rPr>
                <w:sz w:val="19"/>
              </w:rPr>
            </w:r>
            <w:r>
              <w:rPr>
                <w:sz w:val="19"/>
              </w:rPr>
              <w:t>Git, GitHub (repozytorium, pull requesty, przegląd kodu)</w:t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  <w:r>
              <w:rPr>
                <w:sz w:val="19"/>
              </w:rPr>
              <w:t>Dokumentacja</w:t>
            </w:r>
          </w:p>
        </w:tc>
        <w:tc>
          <w:tcPr>
            <w:tcW w:type="dxa" w:w="6576"/>
          </w:tcPr>
          <w:p>
            <w:r>
              <w:rPr>
                <w:sz w:val="19"/>
              </w:rPr>
            </w:r>
            <w:r>
              <w:rPr>
                <w:sz w:val="19"/>
              </w:rPr>
              <w:t>Markdown w repozytorium, Overleaf (LaTeX), szablon .docx dla raportów RPI</w:t>
            </w:r>
          </w:p>
        </w:tc>
      </w:tr>
      <w:tr>
        <w:tc>
          <w:tcPr>
            <w:tcW w:type="dxa" w:w="2608"/>
            <w:shd w:val="clear" w:color="auto" w:fill="E8F1F3"/>
          </w:tcPr>
          <w:p>
            <w:r>
              <w:rPr>
                <w:sz w:val="19"/>
              </w:rPr>
            </w:r>
            <w:r>
              <w:rPr>
                <w:sz w:val="19"/>
              </w:rPr>
              <w:t>Organizacja i zarządzanie</w:t>
            </w:r>
          </w:p>
        </w:tc>
        <w:tc>
          <w:tcPr>
            <w:tcW w:type="dxa" w:w="6576"/>
            <w:shd w:val="clear" w:color="auto" w:fill="E8F1F3"/>
          </w:tcPr>
          <w:p>
            <w:r>
              <w:rPr>
                <w:sz w:val="19"/>
              </w:rPr>
            </w:r>
            <w:r>
              <w:rPr>
                <w:sz w:val="19"/>
              </w:rPr>
              <w:t>plan badań z tabelą zadań i przypisanych osób, agendy spotkań, dziennik decyzji w repozytorium</w:t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  <w:r>
              <w:rPr>
                <w:sz w:val="19"/>
              </w:rPr>
              <w:t>Tworzenie systemu</w:t>
            </w:r>
          </w:p>
        </w:tc>
        <w:tc>
          <w:tcPr>
            <w:tcW w:type="dxa" w:w="6576"/>
          </w:tcPr>
          <w:p>
            <w:r>
              <w:rPr>
                <w:sz w:val="19"/>
              </w:rPr>
            </w:r>
            <w:r>
              <w:rPr>
                <w:sz w:val="19"/>
              </w:rPr>
              <w:t>Python, FastAPI, Pydantic, PyTorch, Hugging Face Transformers, Unsloth, Ollama, Qdrant, Docker</w:t>
            </w:r>
          </w:p>
        </w:tc>
      </w:tr>
      <w:tr>
        <w:tc>
          <w:tcPr>
            <w:tcW w:type="dxa" w:w="2608"/>
            <w:shd w:val="clear" w:color="auto" w:fill="E8F1F3"/>
          </w:tcPr>
          <w:p>
            <w:r>
              <w:rPr>
                <w:sz w:val="19"/>
              </w:rPr>
            </w:r>
            <w:r>
              <w:rPr>
                <w:sz w:val="19"/>
              </w:rPr>
              <w:t>Testowanie i weryfikacja</w:t>
            </w:r>
          </w:p>
        </w:tc>
        <w:tc>
          <w:tcPr>
            <w:tcW w:type="dxa" w:w="6576"/>
            <w:shd w:val="clear" w:color="auto" w:fill="E8F1F3"/>
          </w:tcPr>
          <w:p>
            <w:r>
              <w:rPr>
                <w:sz w:val="19"/>
              </w:rPr>
            </w:r>
            <w:r>
              <w:rPr>
                <w:sz w:val="19"/>
              </w:rPr>
              <w:t>pytest (testy jednostkowe), ruff (lint), Makefile, skrypt sprawdzający zgodność liczb w publikacji z plikami wyników</w:t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  <w:r>
              <w:rPr>
                <w:sz w:val="19"/>
              </w:rPr>
              <w:t>Infrastruktura obliczeniowa</w:t>
            </w:r>
          </w:p>
        </w:tc>
        <w:tc>
          <w:tcPr>
            <w:tcW w:type="dxa" w:w="6576"/>
          </w:tcPr>
          <w:p>
            <w:r>
              <w:rPr>
                <w:sz w:val="19"/>
              </w:rPr>
            </w:r>
            <w:r>
              <w:rPr>
                <w:sz w:val="19"/>
              </w:rPr>
              <w:t>serwer GPU Politechniki Gdańskiej (4 × NVIDIA A40, 3 × Tesla T4), SSH, tmux</w:t>
            </w:r>
          </w:p>
        </w:tc>
      </w:tr>
      <w:tr>
        <w:tc>
          <w:tcPr>
            <w:tcW w:type="dxa" w:w="2608"/>
            <w:shd w:val="clear" w:color="auto" w:fill="E8F1F3"/>
          </w:tcPr>
          <w:p>
            <w:r>
              <w:rPr>
                <w:sz w:val="19"/>
              </w:rPr>
            </w:r>
            <w:r>
              <w:rPr>
                <w:sz w:val="19"/>
              </w:rPr>
              <w:t>Wsparcie AI</w:t>
            </w:r>
          </w:p>
        </w:tc>
        <w:tc>
          <w:tcPr>
            <w:tcW w:type="dxa" w:w="6576"/>
            <w:shd w:val="clear" w:color="auto" w:fill="E8F1F3"/>
          </w:tcPr>
          <w:p>
            <w:r>
              <w:rPr>
                <w:sz w:val="19"/>
              </w:rPr>
            </w:r>
            <w:r>
              <w:rPr>
                <w:sz w:val="19"/>
              </w:rPr>
              <w:t>Claude Code (asystent programistyczny), opis w rozdziale 8</w:t>
            </w:r>
          </w:p>
        </w:tc>
      </w:tr>
    </w:tbl>
    <w:p/>
    <w:p>
      <w:pPr>
        <w:pStyle w:val="Heading1"/>
      </w:pPr>
      <w:r>
        <w:t>8. Wykorzystanie AI i wnioski</w:t>
      </w:r>
    </w:p>
    <w:p>
      <w:r>
        <w:t xml:space="preserve">W projekcie AI pełni dwie role. Modele językowe (Qwen, Mistral) są </w:t>
      </w:r>
      <w:r>
        <w:rPr>
          <w:b/>
        </w:rPr>
        <w:t>przedmiotem badań</w:t>
      </w:r>
      <w:r>
        <w:t xml:space="preserve"> i częścią budowanego systemu. Niezależnie od tego zespół korzysta z </w:t>
      </w:r>
      <w:r>
        <w:rPr>
          <w:b/>
        </w:rPr>
        <w:t>asystenta programistycznego Claude Code</w:t>
      </w:r>
      <w:r>
        <w:t xml:space="preserve"> przy implementacji, analizie danych i dokumentacji. Ten rozdział dotyczy drugiej roli.</w:t>
      </w:r>
    </w:p>
    <w:p>
      <w:pPr>
        <w:pStyle w:val="Heading2"/>
      </w:pPr>
      <w:r>
        <w:t>Jak korzystaliśmy z AI</w:t>
      </w:r>
    </w:p>
    <w:p>
      <w:pPr>
        <w:pStyle w:val="ListBullet"/>
      </w:pPr>
      <w:r>
        <w:t>implementacja skryptów analiz statystycznych i eksperymentów wraz z testami jednostkowymi;</w:t>
      </w:r>
    </w:p>
    <w:p>
      <w:pPr>
        <w:pStyle w:val="ListBullet"/>
      </w:pPr>
      <w:r>
        <w:t>przygotowanie zarejestrowanych z góry kryteriów testów: kryterium było zapisywane i commitowane przed uruchomieniem eksperymentu;</w:t>
      </w:r>
    </w:p>
    <w:p>
      <w:pPr>
        <w:pStyle w:val="ListBullet"/>
      </w:pPr>
      <w:r>
        <w:t>uruchamianie i monitorowanie długich obliczeń na serwerze GPU oraz zwalnianie zasobów po ich zakończeniu;</w:t>
      </w:r>
    </w:p>
    <w:p>
      <w:pPr>
        <w:pStyle w:val="ListBullet"/>
      </w:pPr>
      <w:r>
        <w:t>porządkowanie wyników: zestawienie liczb z automatyczną weryfikacją zgodności z plikami źródłowymi;</w:t>
      </w:r>
    </w:p>
    <w:p>
      <w:pPr>
        <w:pStyle w:val="ListBullet"/>
      </w:pPr>
      <w:r>
        <w:t>przygotowanie dokumentów: agend spotkań, podsumowań dla opiekuna, a także pierwszej wersji tego raportu.</w:t>
      </w:r>
    </w:p>
    <w:p>
      <w:pPr>
        <w:pStyle w:val="Heading2"/>
      </w:pPr>
      <w:r>
        <w:t>Przykładowe prompty i wyniki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E8F1F3"/>
          </w:tcPr>
          <w:p>
            <w:r/>
            <w:r>
              <w:rPr>
                <w:b/>
                <w:color w:val="1F3A5F"/>
                <w:sz w:val="19"/>
              </w:rPr>
              <w:t xml:space="preserve">Prompt: </w:t>
            </w:r>
            <w:r>
              <w:rPr>
                <w:i/>
                <w:sz w:val="19"/>
              </w:rPr>
              <w:t>„Przygotuj optymalne prompty dla testów i wersjonuj je w każdym runie.”</w:t>
            </w:r>
          </w:p>
        </w:tc>
      </w:tr>
      <w:tr>
        <w:tc>
          <w:tcPr>
            <w:tcW w:type="dxa" w:w="9184"/>
          </w:tcPr>
          <w:p>
            <w:r/>
            <w:r>
              <w:rPr>
                <w:b/>
                <w:color w:val="1F3A5F"/>
                <w:sz w:val="19"/>
              </w:rPr>
              <w:t xml:space="preserve">Wynik: </w:t>
            </w:r>
            <w:r>
              <w:rPr>
                <w:sz w:val="19"/>
              </w:rPr>
              <w:t>moduł z wersjonowanymi promptami: każdy prompt ma identyfikator i skrót treści, a każde uruchomienie zapisuje kopię użytych promptów obok wyników. Hashe zarejestrowanych promptów są przypięte w testach.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E8F1F3"/>
          </w:tcPr>
          <w:p>
            <w:r/>
            <w:r>
              <w:rPr>
                <w:b/>
                <w:color w:val="1F3A5F"/>
                <w:sz w:val="19"/>
              </w:rPr>
              <w:t xml:space="preserve">Prompt: </w:t>
            </w:r>
            <w:r>
              <w:rPr>
                <w:i/>
                <w:sz w:val="19"/>
              </w:rPr>
              <w:t>„Zbierz wyniki w jeden plik, abym mógł je łatwo omówić.”</w:t>
            </w:r>
          </w:p>
        </w:tc>
      </w:tr>
      <w:tr>
        <w:tc>
          <w:tcPr>
            <w:tcW w:type="dxa" w:w="9184"/>
          </w:tcPr>
          <w:p>
            <w:r/>
            <w:r>
              <w:rPr>
                <w:b/>
                <w:color w:val="1F3A5F"/>
                <w:sz w:val="19"/>
              </w:rPr>
              <w:t xml:space="preserve">Wynik: </w:t>
            </w:r>
            <w:r>
              <w:rPr>
                <w:sz w:val="19"/>
              </w:rPr>
              <w:t>zestawienie wszystkich wyników z werdyktami i plikami źródłowymi, a później katalog paper/results z manifestem, w którym każda liczba z publikacji jest automatycznie porównywana z plikiem wyników.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E8F1F3"/>
          </w:tcPr>
          <w:p>
            <w:r/>
            <w:r>
              <w:rPr>
                <w:b/>
                <w:color w:val="1F3A5F"/>
                <w:sz w:val="19"/>
              </w:rPr>
              <w:t xml:space="preserve">Prompt: </w:t>
            </w:r>
            <w:r>
              <w:rPr>
                <w:i/>
                <w:sz w:val="19"/>
              </w:rPr>
              <w:t>„Stwórz dokument na podstawie wymagań opisanych w tym PDF.”</w:t>
            </w:r>
          </w:p>
        </w:tc>
      </w:tr>
      <w:tr>
        <w:tc>
          <w:tcPr>
            <w:tcW w:type="dxa" w:w="9184"/>
          </w:tcPr>
          <w:p>
            <w:r/>
            <w:r>
              <w:rPr>
                <w:b/>
                <w:color w:val="1F3A5F"/>
                <w:sz w:val="19"/>
              </w:rPr>
              <w:t xml:space="preserve">Wynik: </w:t>
            </w:r>
            <w:r>
              <w:rPr>
                <w:sz w:val="19"/>
              </w:rPr>
              <w:t>niniejszy raport i szablon dokumentu: treść zebrana z repozytorium (historia commitów, gałęzie, dokumenty) i z odpowiedzi zespołu na pytania doprecyzowujące; fakty niemożliwe do ustalenia oznaczone jako do uzupełnienia.</w:t>
            </w:r>
          </w:p>
        </w:tc>
      </w:tr>
    </w:tbl>
    <w:p/>
    <w:p>
      <w:pPr>
        <w:pStyle w:val="Heading2"/>
      </w:pPr>
      <w:r>
        <w:t>Spostrzeżenia i ograniczenia</w:t>
      </w:r>
    </w:p>
    <w:p>
      <w:pPr>
        <w:pStyle w:val="ListBullet"/>
      </w:pPr>
      <w:r>
        <w:rPr>
          <w:b/>
        </w:rPr>
        <w:t>AI przyspiesza pracę rutynową:</w:t>
      </w:r>
      <w:r>
        <w:t xml:space="preserve"> skrypty analiz, testy, przenoszenie liczb do dokumentów i sprawdzanie ich spójności.</w:t>
      </w:r>
    </w:p>
    <w:p>
      <w:pPr>
        <w:pStyle w:val="ListBullet"/>
      </w:pPr>
      <w:r>
        <w:rPr>
          <w:b/>
        </w:rPr>
        <w:t>Wyniki AI wymagają weryfikacji.</w:t>
      </w:r>
      <w:r>
        <w:t xml:space="preserve"> Zdarzały się błędy: niepoprawne liczby w drafcie, błędnie przypisany współautor cytowanej pracy, zbyt optymistycznie zinterpretowana metryka. Część wychwyciły testy, część przegląd człowieka.</w:t>
      </w:r>
    </w:p>
    <w:p>
      <w:pPr>
        <w:pStyle w:val="ListBullet"/>
      </w:pPr>
      <w:r>
        <w:rPr>
          <w:b/>
        </w:rPr>
        <w:t>Potrzebne są jasne reguły współpracy.</w:t>
      </w:r>
      <w:r>
        <w:t xml:space="preserve"> Po jednym przypadku samodzielnego commita ustaliliśmy, że asystent nie commituje zmian, tylko przygotowuje polecenia do wykonania przez członka zespołu.</w:t>
      </w:r>
    </w:p>
    <w:p>
      <w:pPr>
        <w:pStyle w:val="ListBullet"/>
      </w:pPr>
      <w:r>
        <w:rPr>
          <w:b/>
        </w:rPr>
        <w:t>Rejestracja kryteriów przed uruchomieniem</w:t>
      </w:r>
      <w:r>
        <w:t xml:space="preserve"> ogranicza ryzyko dopasowywania analizy do wyników, także gdy kod pisze AI.</w:t>
      </w:r>
    </w:p>
    <w:p>
      <w:pPr>
        <w:pStyle w:val="ListBullet"/>
      </w:pPr>
      <w:r>
        <w:rPr>
          <w:b/>
        </w:rPr>
        <w:t>AI nie zna faktów spoza repozytorium:</w:t>
      </w:r>
      <w:r>
        <w:t xml:space="preserve"> składu spotkań, decyzji opiekuna, zrzutów ekranu. Te elementy uzupełnia zespół.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361" w:bottom="1247" w:left="1361" w:header="624" w:footer="62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184" w:val="right"/>
      </w:tabs>
    </w:pPr>
    <w:r>
      <w:rPr>
        <w:sz w:val="17"/>
      </w:rPr>
    </w:r>
    <w:r>
      <w:rPr>
        <w:color w:val="5A6577"/>
        <w:sz w:val="17"/>
      </w:rPr>
      <w:t>Wersja 1.0  ·  17.10.2026  ·  Politechnika Gdańska</w:t>
    </w:r>
    <w:r>
      <w:rPr>
        <w:sz w:val="17"/>
      </w:rPr>
      <w:tab/>
    </w:r>
    <w:r>
      <w:rPr>
        <w:color w:val="5A6577"/>
        <w:sz w:val="17"/>
      </w:rPr>
      <w:t xml:space="preserve">Strona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separate"/>
    </w:r>
    <w:r>
      <w:rPr>
        <w:sz w:val="17"/>
      </w:rPr>
      <w:t>1</w:t>
    </w:r>
    <w:r>
      <w:rPr>
        <w:sz w:val="17"/>
      </w:rPr>
      <w:fldChar w:fldCharType="end"/>
    </w:r>
    <w:r>
      <w:rPr>
        <w:color w:val="5A6577"/>
        <w:sz w:val="17"/>
      </w:rPr>
      <w:t xml:space="preserve"> z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separate"/>
    </w:r>
    <w:r>
      <w:rPr>
        <w:sz w:val="17"/>
      </w:rPr>
      <w:t>1</w:t>
    </w:r>
    <w:r>
      <w:rPr>
        <w:sz w:val="17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2A7F8F"/>
      </w:pBdr>
      <w:tabs>
        <w:tab w:pos="9184" w:val="right"/>
      </w:tabs>
    </w:pPr>
    <w:r/>
    <w:r>
      <w:rPr>
        <w:color w:val="5A6577"/>
        <w:sz w:val="18"/>
      </w:rPr>
      <w:t>MedChat  |  Organizacja i infrastruktura projektu</w:t>
    </w:r>
    <w:r>
      <w:tab/>
    </w:r>
    <w:r>
      <w:rPr>
        <w:color w:val="5A6577"/>
        <w:sz w:val="18"/>
      </w:rPr>
      <w:t>Realizacja projektu informatycznego 2026/2027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eastAsia="Calibri" w:cs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 w:cs="Calibri"/>
      <w:b/>
      <w:bCs/>
      <w:color w:val="2A7F8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 w:eastAsia="Calibri" w:cs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