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5351" w14:textId="23469964" w:rsidR="00393639" w:rsidRPr="00393639" w:rsidRDefault="00393639">
      <w:pPr>
        <w:rPr>
          <w:b/>
          <w:bCs/>
        </w:rPr>
      </w:pPr>
      <w:r w:rsidRPr="00393639">
        <w:rPr>
          <w:b/>
          <w:bCs/>
        </w:rPr>
        <w:t>Soil Metal Bioavailability Sample Planning Tool: Read Me File</w:t>
      </w:r>
    </w:p>
    <w:p w14:paraId="667753CA" w14:textId="56EAA7DC" w:rsidR="00393639" w:rsidRDefault="00393639">
      <w:r>
        <w:t>Version: 1 (1/19/22)</w:t>
      </w:r>
    </w:p>
    <w:p w14:paraId="033693D8" w14:textId="5FD26EAD" w:rsidR="00393639" w:rsidRDefault="00393639"/>
    <w:p w14:paraId="1D01FA81" w14:textId="08E36645" w:rsidR="00393639" w:rsidRPr="00EB067C" w:rsidRDefault="00393639" w:rsidP="00393639">
      <w:r>
        <w:t xml:space="preserve">This </w:t>
      </w:r>
      <w:r w:rsidRPr="00EB067C">
        <w:t xml:space="preserve">tool </w:t>
      </w:r>
      <w:r>
        <w:t xml:space="preserve">has been developed to </w:t>
      </w:r>
      <w:r w:rsidRPr="00EB067C">
        <w:t xml:space="preserve">inform sample planning for </w:t>
      </w:r>
      <w:r>
        <w:t xml:space="preserve">sites with arsenic (As) or lead (Pb) contaminated soils were in vitro bioaccessiblity (IVBA) data will be used to estimate soil metal relative bioavailability (RBA) to make site-specific adjustments to measured total soil metal concentrations. </w:t>
      </w:r>
      <w:r w:rsidRPr="00EB067C">
        <w:t>The tool 1) simulates the estimation of RBA-adjusted soil arsenic concentration at the scale of a Decision Unit (DU) based on user-specified sampling protocols and assumptions about the DU, and 2) estimates the probability of making a Type 1 or 2 error, where:</w:t>
      </w:r>
    </w:p>
    <w:p w14:paraId="6FF3F1DD" w14:textId="77777777" w:rsidR="00393639" w:rsidRPr="00EB067C" w:rsidRDefault="00393639" w:rsidP="00393639"/>
    <w:p w14:paraId="7C92A4AA" w14:textId="77777777" w:rsidR="00393639" w:rsidRPr="00C621CF" w:rsidRDefault="00393639" w:rsidP="0039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  <w:b/>
          <w:bCs/>
        </w:rPr>
        <w:t>Type 1 error</w:t>
      </w:r>
      <w:r w:rsidRPr="00C621CF">
        <w:rPr>
          <w:rFonts w:ascii="Times New Roman" w:hAnsi="Times New Roman" w:cs="Times New Roman"/>
        </w:rPr>
        <w:t xml:space="preserve"> = we reject the null hypothesis that the RBA-adjusted mean soil As concentration ≥ Action Level (AL), when the null hypothesis is true</w:t>
      </w:r>
    </w:p>
    <w:p w14:paraId="20C417DA" w14:textId="77777777" w:rsidR="00393639" w:rsidRPr="00C621CF" w:rsidRDefault="00393639" w:rsidP="00393639">
      <w:pPr>
        <w:pStyle w:val="ListParagraph"/>
        <w:ind w:left="933"/>
        <w:rPr>
          <w:rFonts w:ascii="Times New Roman" w:hAnsi="Times New Roman" w:cs="Times New Roman"/>
        </w:rPr>
      </w:pPr>
    </w:p>
    <w:p w14:paraId="1DD3D70C" w14:textId="77777777" w:rsidR="00393639" w:rsidRPr="00C621CF" w:rsidRDefault="00393639" w:rsidP="0039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  <w:b/>
          <w:bCs/>
        </w:rPr>
        <w:t>Type 2 error</w:t>
      </w:r>
      <w:r w:rsidRPr="00C621CF">
        <w:rPr>
          <w:rFonts w:ascii="Times New Roman" w:hAnsi="Times New Roman" w:cs="Times New Roman"/>
        </w:rPr>
        <w:t xml:space="preserve"> = we accept the null hypothesis that the RBA-adjusted mean soil As concentration ≥ Action Level (AL), when the null hypothesis is false</w:t>
      </w:r>
    </w:p>
    <w:p w14:paraId="62ED9A75" w14:textId="77777777" w:rsidR="00393639" w:rsidRPr="00EB067C" w:rsidRDefault="00393639" w:rsidP="00393639"/>
    <w:p w14:paraId="504B760F" w14:textId="77777777" w:rsidR="00393639" w:rsidRPr="00EB067C" w:rsidRDefault="00393639" w:rsidP="00393639">
      <w:r w:rsidRPr="00EB067C">
        <w:t xml:space="preserve">In this analysis, a Type 1 error is a false compliance decision error and a Type 2 error is a false exceedance decision error. A false compliance decision error occurs if it is concluded that the RBA-adjusted Exposure Point Concentration (EPC) is less than the AL, when it is actually greater than the AL. This outcome is also referred to as a false rejection error (U.S. EPA, 2006). A false compliance decision error could result in underestimating risk at the site and/or not taking an action when action is needed to reduce risk. A false exceedance decision error occurs if it is concluded that the EPC exceeds the AL, when it is actually less than the AL. This outcome is also referred to as a false acceptance error (U.S. EPA, 2006). A false exceedance decision error could result in overestimating risk at the site and/or taking action at the site to reduce risk when no action is needed.  </w:t>
      </w:r>
    </w:p>
    <w:p w14:paraId="79FD0B71" w14:textId="3E1EB6BD" w:rsidR="00393639" w:rsidRDefault="00393639" w:rsidP="003936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93639" w14:paraId="13DC4931" w14:textId="77777777" w:rsidTr="00393639">
        <w:tc>
          <w:tcPr>
            <w:tcW w:w="12950" w:type="dxa"/>
            <w:shd w:val="clear" w:color="auto" w:fill="D9D9D9" w:themeFill="background1" w:themeFillShade="D9"/>
          </w:tcPr>
          <w:p w14:paraId="4C37CDBA" w14:textId="24067D4B" w:rsidR="00393639" w:rsidRPr="00393639" w:rsidRDefault="00393639" w:rsidP="00393639">
            <w:pPr>
              <w:rPr>
                <w:b/>
                <w:bCs/>
              </w:rPr>
            </w:pPr>
            <w:r w:rsidRPr="00393639">
              <w:rPr>
                <w:b/>
                <w:bCs/>
              </w:rPr>
              <w:t xml:space="preserve">EPA guidance recommends a target of a &lt; 5% chance of making a Type 1 error and &lt; 20% chance of making a Type 2 error (U.S. EPA 2020). </w:t>
            </w:r>
          </w:p>
        </w:tc>
      </w:tr>
    </w:tbl>
    <w:p w14:paraId="3B554208" w14:textId="77777777" w:rsidR="00393639" w:rsidRPr="00EB067C" w:rsidRDefault="00393639" w:rsidP="00393639"/>
    <w:p w14:paraId="26ECDF4F" w14:textId="5FC59F96" w:rsidR="00393639" w:rsidRDefault="00393639"/>
    <w:p w14:paraId="7174ECB5" w14:textId="77777777" w:rsidR="00393639" w:rsidRPr="00EB067C" w:rsidRDefault="00393639" w:rsidP="00393639">
      <w:r w:rsidRPr="00EB067C">
        <w:t>The bioavailability sampling guidance tool includes several user-specified inputs including, but not limited to:</w:t>
      </w:r>
    </w:p>
    <w:p w14:paraId="2DA9DD3B" w14:textId="77777777" w:rsidR="00393639" w:rsidRPr="00EB067C" w:rsidRDefault="00393639" w:rsidP="00393639"/>
    <w:p w14:paraId="6898F57A" w14:textId="25A4FFED" w:rsidR="00393639" w:rsidRPr="00C621CF" w:rsidRDefault="00393639" w:rsidP="0039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</w:rPr>
        <w:t>The DU-specific A</w:t>
      </w:r>
      <w:r>
        <w:rPr>
          <w:rFonts w:ascii="Times New Roman" w:hAnsi="Times New Roman" w:cs="Times New Roman"/>
        </w:rPr>
        <w:t xml:space="preserve">ction </w:t>
      </w:r>
      <w:r w:rsidRPr="00C621CF">
        <w:rPr>
          <w:rFonts w:ascii="Times New Roman" w:hAnsi="Times New Roman" w:cs="Times New Roman"/>
        </w:rPr>
        <w:t>Level (AL)</w:t>
      </w:r>
    </w:p>
    <w:p w14:paraId="4F0E2961" w14:textId="77777777" w:rsidR="00393639" w:rsidRPr="00C621CF" w:rsidRDefault="00393639" w:rsidP="0039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</w:rPr>
        <w:t>Discrete or composite sampling</w:t>
      </w:r>
    </w:p>
    <w:p w14:paraId="6D5642D4" w14:textId="77777777" w:rsidR="00393639" w:rsidRPr="00C621CF" w:rsidRDefault="00393639" w:rsidP="003936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</w:rPr>
        <w:t>For composite sampling, the number of sample increments per composite</w:t>
      </w:r>
    </w:p>
    <w:p w14:paraId="214EC1FE" w14:textId="77777777" w:rsidR="00393639" w:rsidRPr="00C621CF" w:rsidRDefault="00393639" w:rsidP="0039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</w:rPr>
        <w:lastRenderedPageBreak/>
        <w:t>The number of samples analyzed for total soil metal concentration and IVBA</w:t>
      </w:r>
    </w:p>
    <w:p w14:paraId="6574F43B" w14:textId="77777777" w:rsidR="00393639" w:rsidRPr="00C621CF" w:rsidRDefault="00393639" w:rsidP="0039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</w:rPr>
        <w:t>Assumptions about the level of contamination at the DU, specified in terms of how close the DU’s true bioavailable soil metal concentration is to the AL</w:t>
      </w:r>
    </w:p>
    <w:p w14:paraId="52CA55CC" w14:textId="77777777" w:rsidR="00393639" w:rsidRPr="00C621CF" w:rsidRDefault="00393639" w:rsidP="0039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</w:rPr>
        <w:t>Assumptions about variability in total metal concentration and % RBA across the DU, specified in terms of the coefficient of variation (CoV), where:</w:t>
      </w:r>
    </w:p>
    <w:p w14:paraId="374A4F32" w14:textId="77777777" w:rsidR="00393639" w:rsidRPr="00C621CF" w:rsidRDefault="00393639" w:rsidP="003936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</w:rPr>
        <w:t xml:space="preserve">CoV = standard deviation / mean  </w:t>
      </w:r>
    </w:p>
    <w:p w14:paraId="38CD1412" w14:textId="77777777" w:rsidR="00393639" w:rsidRPr="00C621CF" w:rsidRDefault="00393639" w:rsidP="0039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</w:rPr>
        <w:t>Assumptions about the distribution in total metal concentration and % RBA across the DU, specified in terms of normal, log-normal or uniform distributions</w:t>
      </w:r>
    </w:p>
    <w:p w14:paraId="3F78C2A0" w14:textId="77777777" w:rsidR="00393639" w:rsidRDefault="00393639" w:rsidP="0039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21CF">
        <w:rPr>
          <w:rFonts w:ascii="Times New Roman" w:hAnsi="Times New Roman" w:cs="Times New Roman"/>
        </w:rPr>
        <w:t>Assumptions about the mean % RBA for the DU</w:t>
      </w:r>
    </w:p>
    <w:p w14:paraId="6F18D8FC" w14:textId="77777777" w:rsidR="00393639" w:rsidRPr="00393639" w:rsidRDefault="00393639" w:rsidP="0039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A</w:t>
      </w:r>
      <w:r w:rsidRPr="00EB067C">
        <w:t xml:space="preserve">ssumptions about analytical error in measurement of total soil metal concentration </w:t>
      </w:r>
    </w:p>
    <w:p w14:paraId="4FAC2327" w14:textId="27493263" w:rsidR="00393639" w:rsidRPr="00393639" w:rsidRDefault="00393639" w:rsidP="0039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A</w:t>
      </w:r>
      <w:r w:rsidRPr="00EB067C">
        <w:t xml:space="preserve">ssumptions about regression model error in predicting RBA from IVBA as described in Diamond et al. 2016. </w:t>
      </w:r>
    </w:p>
    <w:p w14:paraId="68A1CE39" w14:textId="22714DA8" w:rsidR="00BF522B" w:rsidRDefault="00BF522B"/>
    <w:p w14:paraId="6FBCDD8D" w14:textId="3B8C5AEA" w:rsidR="00BF522B" w:rsidRDefault="00BF522B"/>
    <w:p w14:paraId="1288A40B" w14:textId="77777777" w:rsidR="00BF522B" w:rsidRDefault="00BF522B"/>
    <w:p w14:paraId="2BC35E59" w14:textId="7740E2D4" w:rsidR="00393639" w:rsidRDefault="00393639">
      <w:r w:rsidRPr="00393639">
        <w:rPr>
          <w:b/>
          <w:bCs/>
        </w:rPr>
        <w:t>Table 1.</w:t>
      </w:r>
      <w:r>
        <w:t xml:space="preserve"> Explanation of user-selected inputs to tool.</w:t>
      </w:r>
    </w:p>
    <w:p w14:paraId="1FDC3470" w14:textId="77777777" w:rsidR="00393639" w:rsidRPr="00393639" w:rsidRDefault="00393639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8725"/>
      </w:tblGrid>
      <w:tr w:rsidR="00CA0040" w:rsidRPr="00CA0040" w14:paraId="7FD40C4D" w14:textId="77777777" w:rsidTr="00A46D9B">
        <w:tc>
          <w:tcPr>
            <w:tcW w:w="2605" w:type="dxa"/>
            <w:shd w:val="clear" w:color="auto" w:fill="BFBFBF" w:themeFill="background1" w:themeFillShade="BF"/>
          </w:tcPr>
          <w:p w14:paraId="155D5D28" w14:textId="7F9101CD" w:rsidR="00CA0040" w:rsidRPr="00CA0040" w:rsidRDefault="00CA0040">
            <w:pPr>
              <w:rPr>
                <w:b/>
                <w:bCs/>
                <w:sz w:val="22"/>
                <w:szCs w:val="22"/>
              </w:rPr>
            </w:pPr>
            <w:r w:rsidRPr="00CA0040">
              <w:rPr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D5395C6" w14:textId="77B5E55F" w:rsidR="00CA0040" w:rsidRPr="00CA0040" w:rsidRDefault="00CA00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Options</w:t>
            </w:r>
          </w:p>
        </w:tc>
        <w:tc>
          <w:tcPr>
            <w:tcW w:w="8725" w:type="dxa"/>
            <w:shd w:val="clear" w:color="auto" w:fill="BFBFBF" w:themeFill="background1" w:themeFillShade="BF"/>
          </w:tcPr>
          <w:p w14:paraId="4EC1E752" w14:textId="1A6DB208" w:rsidR="00CA0040" w:rsidRPr="00CA0040" w:rsidRDefault="00CA0040">
            <w:pPr>
              <w:rPr>
                <w:b/>
                <w:bCs/>
                <w:sz w:val="22"/>
                <w:szCs w:val="22"/>
              </w:rPr>
            </w:pPr>
            <w:r w:rsidRPr="00CA0040">
              <w:rPr>
                <w:b/>
                <w:bCs/>
                <w:sz w:val="22"/>
                <w:szCs w:val="22"/>
              </w:rPr>
              <w:t>Explanation</w:t>
            </w:r>
          </w:p>
        </w:tc>
      </w:tr>
      <w:tr w:rsidR="00A46D9B" w:rsidRPr="00CA0040" w14:paraId="57D15FEF" w14:textId="77777777" w:rsidTr="00A46D9B">
        <w:tc>
          <w:tcPr>
            <w:tcW w:w="12950" w:type="dxa"/>
            <w:gridSpan w:val="3"/>
            <w:shd w:val="clear" w:color="auto" w:fill="D9D9D9" w:themeFill="background1" w:themeFillShade="D9"/>
          </w:tcPr>
          <w:p w14:paraId="55311A78" w14:textId="7B7EBDF4" w:rsidR="00A46D9B" w:rsidRPr="00393639" w:rsidRDefault="00A46D9B" w:rsidP="00A46D9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93639">
              <w:rPr>
                <w:b/>
                <w:bCs/>
                <w:i/>
                <w:iCs/>
                <w:sz w:val="20"/>
                <w:szCs w:val="20"/>
              </w:rPr>
              <w:t>Contaminant</w:t>
            </w:r>
          </w:p>
        </w:tc>
      </w:tr>
      <w:tr w:rsidR="00CA0040" w:rsidRPr="00CA0040" w14:paraId="2BC35CBE" w14:textId="77777777" w:rsidTr="00A46D9B">
        <w:tc>
          <w:tcPr>
            <w:tcW w:w="2605" w:type="dxa"/>
          </w:tcPr>
          <w:p w14:paraId="04E8EC2C" w14:textId="30A77BEB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Select contaminant</w:t>
            </w:r>
          </w:p>
        </w:tc>
        <w:tc>
          <w:tcPr>
            <w:tcW w:w="1620" w:type="dxa"/>
          </w:tcPr>
          <w:p w14:paraId="14F50C1A" w14:textId="3675B439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As, Pb</w:t>
            </w:r>
          </w:p>
        </w:tc>
        <w:tc>
          <w:tcPr>
            <w:tcW w:w="8725" w:type="dxa"/>
          </w:tcPr>
          <w:p w14:paraId="35377655" w14:textId="488DDB27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The tool is currently developed for use with Pb or As-contaminated soils</w:t>
            </w:r>
            <w:r w:rsidR="00A46D9B">
              <w:rPr>
                <w:sz w:val="20"/>
                <w:szCs w:val="20"/>
              </w:rPr>
              <w:t xml:space="preserve"> where bioavailability will be used to adjust the total soil metal concentration</w:t>
            </w:r>
            <w:r w:rsidRPr="00CA0040">
              <w:rPr>
                <w:sz w:val="20"/>
                <w:szCs w:val="20"/>
              </w:rPr>
              <w:t>.</w:t>
            </w:r>
          </w:p>
        </w:tc>
      </w:tr>
      <w:tr w:rsidR="00CA0040" w:rsidRPr="00CA0040" w14:paraId="68CF764D" w14:textId="77777777" w:rsidTr="00A46D9B">
        <w:tc>
          <w:tcPr>
            <w:tcW w:w="2605" w:type="dxa"/>
          </w:tcPr>
          <w:p w14:paraId="00C9B1E7" w14:textId="495911C6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Enter site-specific action level (mg/kg)</w:t>
            </w:r>
          </w:p>
        </w:tc>
        <w:tc>
          <w:tcPr>
            <w:tcW w:w="1620" w:type="dxa"/>
          </w:tcPr>
          <w:p w14:paraId="37AE030E" w14:textId="30A3A50D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Custom field</w:t>
            </w:r>
          </w:p>
        </w:tc>
        <w:tc>
          <w:tcPr>
            <w:tcW w:w="8725" w:type="dxa"/>
          </w:tcPr>
          <w:p w14:paraId="18720250" w14:textId="241CA817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The tool is coded so that the user inputs the Decision Unit’s (DU) ‘un-adjusted’ (for RBA) action level here. The total soil metal concentration is adjusted by %RBA. This value -- the bioavailable soil metal concentration (mg/kg) -- is then compared to the</w:t>
            </w:r>
            <w:r w:rsidR="00A46D9B">
              <w:rPr>
                <w:sz w:val="20"/>
                <w:szCs w:val="20"/>
              </w:rPr>
              <w:t xml:space="preserve"> user-</w:t>
            </w:r>
            <w:r w:rsidRPr="00CA0040">
              <w:rPr>
                <w:sz w:val="20"/>
                <w:szCs w:val="20"/>
              </w:rPr>
              <w:t xml:space="preserve">input action level.  </w:t>
            </w:r>
          </w:p>
        </w:tc>
      </w:tr>
      <w:tr w:rsidR="00A46D9B" w:rsidRPr="00CA0040" w14:paraId="42A1E03A" w14:textId="77777777" w:rsidTr="00A46D9B">
        <w:tc>
          <w:tcPr>
            <w:tcW w:w="12950" w:type="dxa"/>
            <w:gridSpan w:val="3"/>
            <w:shd w:val="clear" w:color="auto" w:fill="D9D9D9" w:themeFill="background1" w:themeFillShade="D9"/>
          </w:tcPr>
          <w:p w14:paraId="071819C9" w14:textId="170B9667" w:rsidR="00A46D9B" w:rsidRPr="00393639" w:rsidRDefault="00A46D9B" w:rsidP="00A46D9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93639">
              <w:rPr>
                <w:b/>
                <w:bCs/>
                <w:i/>
                <w:iCs/>
                <w:sz w:val="20"/>
                <w:szCs w:val="20"/>
              </w:rPr>
              <w:t>Sampling Protocol</w:t>
            </w:r>
          </w:p>
        </w:tc>
      </w:tr>
      <w:tr w:rsidR="00CA0040" w:rsidRPr="00CA0040" w14:paraId="3C71A409" w14:textId="77777777" w:rsidTr="00A46D9B">
        <w:tc>
          <w:tcPr>
            <w:tcW w:w="2605" w:type="dxa"/>
          </w:tcPr>
          <w:p w14:paraId="79FA4D7F" w14:textId="05E02B04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Sample aggregation </w:t>
            </w:r>
          </w:p>
        </w:tc>
        <w:tc>
          <w:tcPr>
            <w:tcW w:w="1620" w:type="dxa"/>
          </w:tcPr>
          <w:p w14:paraId="144D7BAE" w14:textId="6C272D8D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Discrete, Composite</w:t>
            </w:r>
          </w:p>
        </w:tc>
        <w:tc>
          <w:tcPr>
            <w:tcW w:w="8725" w:type="dxa"/>
          </w:tcPr>
          <w:p w14:paraId="3B015048" w14:textId="5335B3E9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Select whether a discrete or composite sampling protocol will be used.</w:t>
            </w:r>
          </w:p>
        </w:tc>
      </w:tr>
      <w:tr w:rsidR="00CA0040" w:rsidRPr="00CA0040" w14:paraId="1C20A94A" w14:textId="77777777" w:rsidTr="00A46D9B">
        <w:tc>
          <w:tcPr>
            <w:tcW w:w="2605" w:type="dxa"/>
          </w:tcPr>
          <w:p w14:paraId="6EAECADA" w14:textId="0B22773A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Increments per composite</w:t>
            </w:r>
          </w:p>
        </w:tc>
        <w:tc>
          <w:tcPr>
            <w:tcW w:w="1620" w:type="dxa"/>
          </w:tcPr>
          <w:p w14:paraId="21C763D0" w14:textId="1B07E8BC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Custom field</w:t>
            </w:r>
          </w:p>
        </w:tc>
        <w:tc>
          <w:tcPr>
            <w:tcW w:w="8725" w:type="dxa"/>
          </w:tcPr>
          <w:p w14:paraId="69B33C64" w14:textId="2FCFBC6E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If composite is selected for sample aggregation, input the number of sample increments per composite. The tool is currently limited to only simulate a single value here (i.e., it can’t simulate scenarios where some composites are made up of </w:t>
            </w:r>
            <w:r w:rsidRPr="00CA0040">
              <w:rPr>
                <w:i/>
                <w:iCs/>
                <w:sz w:val="20"/>
                <w:szCs w:val="20"/>
              </w:rPr>
              <w:t>X</w:t>
            </w:r>
            <w:r w:rsidRPr="00CA0040">
              <w:rPr>
                <w:sz w:val="20"/>
                <w:szCs w:val="20"/>
              </w:rPr>
              <w:t xml:space="preserve"> increments, and others </w:t>
            </w:r>
            <w:r w:rsidRPr="00CA0040">
              <w:rPr>
                <w:i/>
                <w:iCs/>
                <w:sz w:val="20"/>
                <w:szCs w:val="20"/>
              </w:rPr>
              <w:t>Y</w:t>
            </w:r>
            <w:r w:rsidRPr="00CA0040">
              <w:rPr>
                <w:sz w:val="20"/>
                <w:szCs w:val="20"/>
              </w:rPr>
              <w:t xml:space="preserve"> increments).</w:t>
            </w:r>
          </w:p>
        </w:tc>
      </w:tr>
      <w:tr w:rsidR="00CA0040" w:rsidRPr="00CA0040" w14:paraId="10C7ECDC" w14:textId="77777777" w:rsidTr="00A46D9B">
        <w:tc>
          <w:tcPr>
            <w:tcW w:w="2605" w:type="dxa"/>
          </w:tcPr>
          <w:p w14:paraId="2C0B3102" w14:textId="654B894A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# of samples to be analyzed for total metal concentration </w:t>
            </w:r>
          </w:p>
        </w:tc>
        <w:tc>
          <w:tcPr>
            <w:tcW w:w="1620" w:type="dxa"/>
          </w:tcPr>
          <w:p w14:paraId="15543CF1" w14:textId="48A1AF5B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Custom field</w:t>
            </w:r>
          </w:p>
        </w:tc>
        <w:tc>
          <w:tcPr>
            <w:tcW w:w="8725" w:type="dxa"/>
          </w:tcPr>
          <w:p w14:paraId="4844C1B4" w14:textId="38579BA4" w:rsidR="00CA0040" w:rsidRPr="00CA0040" w:rsidRDefault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The number of discrete or composite samples measured for total soil metal concentration, typically by EPA Method 6010 (ICP-OES) or 6020 (ICP-MS).</w:t>
            </w:r>
          </w:p>
        </w:tc>
      </w:tr>
      <w:tr w:rsidR="00CA0040" w:rsidRPr="00CA0040" w14:paraId="41E6DB0D" w14:textId="77777777" w:rsidTr="00A46D9B">
        <w:tc>
          <w:tcPr>
            <w:tcW w:w="2605" w:type="dxa"/>
          </w:tcPr>
          <w:p w14:paraId="485C4831" w14:textId="49212809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# of samples to be analyzed for % IVBA</w:t>
            </w:r>
          </w:p>
        </w:tc>
        <w:tc>
          <w:tcPr>
            <w:tcW w:w="1620" w:type="dxa"/>
          </w:tcPr>
          <w:p w14:paraId="174A6196" w14:textId="4C0AF9E4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Custom field</w:t>
            </w:r>
          </w:p>
        </w:tc>
        <w:tc>
          <w:tcPr>
            <w:tcW w:w="8725" w:type="dxa"/>
          </w:tcPr>
          <w:p w14:paraId="1AF82F29" w14:textId="77777777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The number of discrete or composite samples measured for % IVBA by EPA Method 1340.</w:t>
            </w:r>
          </w:p>
          <w:p w14:paraId="1B8E6C8B" w14:textId="585638D2" w:rsidR="00CA0040" w:rsidRPr="00CA0040" w:rsidRDefault="00CA0040" w:rsidP="00CA0040">
            <w:pPr>
              <w:rPr>
                <w:sz w:val="20"/>
                <w:szCs w:val="20"/>
              </w:rPr>
            </w:pPr>
          </w:p>
        </w:tc>
      </w:tr>
      <w:tr w:rsidR="00CA0040" w:rsidRPr="00CA0040" w14:paraId="36D5C813" w14:textId="77777777" w:rsidTr="00A46D9B">
        <w:tc>
          <w:tcPr>
            <w:tcW w:w="2605" w:type="dxa"/>
          </w:tcPr>
          <w:p w14:paraId="7D0B87BF" w14:textId="7BA8E571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Base final bioavailable metal concentration calculation on:</w:t>
            </w:r>
          </w:p>
        </w:tc>
        <w:tc>
          <w:tcPr>
            <w:tcW w:w="1620" w:type="dxa"/>
          </w:tcPr>
          <w:p w14:paraId="3E63978F" w14:textId="6F44FEC1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Mean, upper 95% CL of mean</w:t>
            </w:r>
          </w:p>
        </w:tc>
        <w:tc>
          <w:tcPr>
            <w:tcW w:w="8725" w:type="dxa"/>
          </w:tcPr>
          <w:p w14:paraId="0DBA1574" w14:textId="39F34015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The user selects whether the DU’s </w:t>
            </w:r>
            <w:r w:rsidR="00A46D9B" w:rsidRPr="00CA0040">
              <w:rPr>
                <w:sz w:val="20"/>
                <w:szCs w:val="20"/>
              </w:rPr>
              <w:t xml:space="preserve">[bioMetal] </w:t>
            </w:r>
            <w:r w:rsidRPr="00CA0040">
              <w:rPr>
                <w:sz w:val="20"/>
                <w:szCs w:val="20"/>
              </w:rPr>
              <w:t xml:space="preserve">(mg/kg) should be calculated using the mean or upper 95% CL in [bioMetal] (mg/kg) across the samples analyzed in the DU. </w:t>
            </w:r>
          </w:p>
        </w:tc>
      </w:tr>
      <w:tr w:rsidR="00A46D9B" w:rsidRPr="00CA0040" w14:paraId="6D37D648" w14:textId="77777777" w:rsidTr="00A46D9B">
        <w:tc>
          <w:tcPr>
            <w:tcW w:w="12950" w:type="dxa"/>
            <w:gridSpan w:val="3"/>
            <w:shd w:val="clear" w:color="auto" w:fill="D9D9D9" w:themeFill="background1" w:themeFillShade="D9"/>
          </w:tcPr>
          <w:p w14:paraId="0FD804AB" w14:textId="4E8EA58B" w:rsidR="00A46D9B" w:rsidRPr="00393639" w:rsidRDefault="00A46D9B" w:rsidP="00A46D9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93639">
              <w:rPr>
                <w:b/>
                <w:bCs/>
                <w:i/>
                <w:iCs/>
                <w:sz w:val="20"/>
                <w:szCs w:val="20"/>
              </w:rPr>
              <w:lastRenderedPageBreak/>
              <w:t>Decision Unit Assumptions</w:t>
            </w:r>
          </w:p>
        </w:tc>
      </w:tr>
      <w:tr w:rsidR="00CA0040" w:rsidRPr="00CA0040" w14:paraId="3B174D73" w14:textId="77777777" w:rsidTr="00A46D9B">
        <w:tc>
          <w:tcPr>
            <w:tcW w:w="2605" w:type="dxa"/>
          </w:tcPr>
          <w:p w14:paraId="5C6BFCAA" w14:textId="5B3B42CB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Assumed level of soil contamination to simulate (expressed in terms of % below/above the action level) </w:t>
            </w:r>
          </w:p>
        </w:tc>
        <w:tc>
          <w:tcPr>
            <w:tcW w:w="1620" w:type="dxa"/>
          </w:tcPr>
          <w:p w14:paraId="35C8F27B" w14:textId="036CA0CD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-25%, 25%, Custom field</w:t>
            </w:r>
          </w:p>
        </w:tc>
        <w:tc>
          <w:tcPr>
            <w:tcW w:w="8725" w:type="dxa"/>
          </w:tcPr>
          <w:p w14:paraId="790B21A9" w14:textId="7404BC93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In order for the tool to estimate Type 1 or 2 error, the DU’s true </w:t>
            </w:r>
            <w:r w:rsidR="00A46D9B" w:rsidRPr="00CA0040">
              <w:rPr>
                <w:sz w:val="20"/>
                <w:szCs w:val="20"/>
              </w:rPr>
              <w:t>[bioMetal]</w:t>
            </w:r>
            <w:r w:rsidRPr="00CA0040">
              <w:rPr>
                <w:sz w:val="20"/>
                <w:szCs w:val="20"/>
              </w:rPr>
              <w:t xml:space="preserve">, while an unknown value, must be assumed. Typically, the closer the DU’s assumed true </w:t>
            </w:r>
            <w:r w:rsidR="00A46D9B" w:rsidRPr="00CA0040">
              <w:rPr>
                <w:sz w:val="20"/>
                <w:szCs w:val="20"/>
              </w:rPr>
              <w:t>[bioMetal]</w:t>
            </w:r>
            <w:r w:rsidR="00A46D9B">
              <w:rPr>
                <w:sz w:val="20"/>
                <w:szCs w:val="20"/>
              </w:rPr>
              <w:t xml:space="preserve"> </w:t>
            </w:r>
            <w:r w:rsidRPr="00CA0040">
              <w:rPr>
                <w:sz w:val="20"/>
                <w:szCs w:val="20"/>
              </w:rPr>
              <w:t xml:space="preserve">is to the AL, the more samples that must be analyzed to meet Type 1 or 2 error goals. In order to estimate Type 1 error rates, it must be assumed that the DU’s true [biometal] is &gt; AL (a + value must be input here). To estimate Type 2 error rates, it must be assumed that the DU’s true [bioMetal] is &lt; AL (a - value must be input here).     </w:t>
            </w:r>
          </w:p>
        </w:tc>
      </w:tr>
      <w:tr w:rsidR="00CA0040" w:rsidRPr="00CA0040" w14:paraId="6007B29E" w14:textId="77777777" w:rsidTr="00A46D9B">
        <w:tc>
          <w:tcPr>
            <w:tcW w:w="2605" w:type="dxa"/>
          </w:tcPr>
          <w:p w14:paraId="6453A563" w14:textId="14509C5B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Total metal concentration data distribution:</w:t>
            </w:r>
          </w:p>
        </w:tc>
        <w:tc>
          <w:tcPr>
            <w:tcW w:w="1620" w:type="dxa"/>
          </w:tcPr>
          <w:p w14:paraId="77FCABD1" w14:textId="7023220F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Log-normal, normal</w:t>
            </w:r>
          </w:p>
        </w:tc>
        <w:tc>
          <w:tcPr>
            <w:tcW w:w="8725" w:type="dxa"/>
          </w:tcPr>
          <w:p w14:paraId="33585D7F" w14:textId="2D537403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The assumed </w:t>
            </w:r>
            <w:r>
              <w:rPr>
                <w:sz w:val="20"/>
                <w:szCs w:val="20"/>
              </w:rPr>
              <w:t xml:space="preserve">shape of the </w:t>
            </w:r>
            <w:r w:rsidRPr="00CA0040">
              <w:rPr>
                <w:sz w:val="20"/>
                <w:szCs w:val="20"/>
              </w:rPr>
              <w:t xml:space="preserve">distribution in total metal concentration across the DU. </w:t>
            </w:r>
            <w:r>
              <w:rPr>
                <w:sz w:val="20"/>
                <w:szCs w:val="20"/>
              </w:rPr>
              <w:t>T</w:t>
            </w:r>
            <w:r w:rsidRPr="00CA0040">
              <w:rPr>
                <w:sz w:val="20"/>
                <w:szCs w:val="20"/>
              </w:rPr>
              <w:t xml:space="preserve">he default input is log-normal, but the user can also specify a normal distribution. </w:t>
            </w:r>
          </w:p>
        </w:tc>
      </w:tr>
      <w:tr w:rsidR="00CA0040" w:rsidRPr="00CA0040" w14:paraId="07934026" w14:textId="77777777" w:rsidTr="00A46D9B">
        <w:tc>
          <w:tcPr>
            <w:tcW w:w="2605" w:type="dxa"/>
          </w:tcPr>
          <w:p w14:paraId="0CB74A71" w14:textId="2A4DA051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Total metal concentration coefficient of variation (CoV):</w:t>
            </w:r>
          </w:p>
        </w:tc>
        <w:tc>
          <w:tcPr>
            <w:tcW w:w="1620" w:type="dxa"/>
          </w:tcPr>
          <w:p w14:paraId="6EAF7EE8" w14:textId="711934AB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0.5, 1, 3, Custom field</w:t>
            </w:r>
          </w:p>
        </w:tc>
        <w:tc>
          <w:tcPr>
            <w:tcW w:w="8725" w:type="dxa"/>
          </w:tcPr>
          <w:p w14:paraId="5DA46A6A" w14:textId="24230013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CoV is used to quantitively estimate </w:t>
            </w:r>
            <w:r>
              <w:rPr>
                <w:sz w:val="20"/>
                <w:szCs w:val="20"/>
              </w:rPr>
              <w:t xml:space="preserve">assumed </w:t>
            </w:r>
            <w:r w:rsidRPr="00CA0040">
              <w:rPr>
                <w:sz w:val="20"/>
                <w:szCs w:val="20"/>
              </w:rPr>
              <w:t xml:space="preserve">variability in total metal concentration across the DU. The higher the CoV, the greater the assumed variability in totals across the DU.  </w:t>
            </w:r>
          </w:p>
        </w:tc>
      </w:tr>
      <w:tr w:rsidR="00CA0040" w:rsidRPr="00CA0040" w14:paraId="603FB79A" w14:textId="77777777" w:rsidTr="00A46D9B">
        <w:tc>
          <w:tcPr>
            <w:tcW w:w="2605" w:type="dxa"/>
          </w:tcPr>
          <w:p w14:paraId="7C543536" w14:textId="3665524C" w:rsidR="00CA0040" w:rsidRPr="00CA0040" w:rsidRDefault="00CA0040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RBA</w:t>
            </w:r>
            <w:r w:rsidRPr="00CA0040">
              <w:rPr>
                <w:sz w:val="20"/>
                <w:szCs w:val="20"/>
              </w:rPr>
              <w:t xml:space="preserve"> data distribution:</w:t>
            </w:r>
          </w:p>
        </w:tc>
        <w:tc>
          <w:tcPr>
            <w:tcW w:w="1620" w:type="dxa"/>
          </w:tcPr>
          <w:p w14:paraId="458A4F27" w14:textId="4B9411F4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Normal</w:t>
            </w:r>
            <w:r>
              <w:rPr>
                <w:sz w:val="20"/>
                <w:szCs w:val="20"/>
              </w:rPr>
              <w:t>, uniform, l</w:t>
            </w:r>
            <w:r w:rsidRPr="00CA0040">
              <w:rPr>
                <w:sz w:val="20"/>
                <w:szCs w:val="20"/>
              </w:rPr>
              <w:t xml:space="preserve">og-normal, </w:t>
            </w:r>
          </w:p>
        </w:tc>
        <w:tc>
          <w:tcPr>
            <w:tcW w:w="8725" w:type="dxa"/>
          </w:tcPr>
          <w:p w14:paraId="660B72CB" w14:textId="52E2AEA3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The assumed </w:t>
            </w:r>
            <w:r>
              <w:rPr>
                <w:sz w:val="20"/>
                <w:szCs w:val="20"/>
              </w:rPr>
              <w:t xml:space="preserve">shape of the </w:t>
            </w:r>
            <w:r w:rsidRPr="00CA0040">
              <w:rPr>
                <w:sz w:val="20"/>
                <w:szCs w:val="20"/>
              </w:rPr>
              <w:t xml:space="preserve">distribution in </w:t>
            </w:r>
            <w:r>
              <w:rPr>
                <w:sz w:val="20"/>
                <w:szCs w:val="20"/>
              </w:rPr>
              <w:t>% RBA</w:t>
            </w:r>
            <w:r w:rsidRPr="00CA0040">
              <w:rPr>
                <w:sz w:val="20"/>
                <w:szCs w:val="20"/>
              </w:rPr>
              <w:t xml:space="preserve"> across the DU. </w:t>
            </w:r>
            <w:r>
              <w:rPr>
                <w:sz w:val="20"/>
                <w:szCs w:val="20"/>
              </w:rPr>
              <w:t>T</w:t>
            </w:r>
            <w:r w:rsidRPr="00CA0040">
              <w:rPr>
                <w:sz w:val="20"/>
                <w:szCs w:val="20"/>
              </w:rPr>
              <w:t xml:space="preserve">he default input is normal, but the user can also specify a </w:t>
            </w:r>
            <w:r>
              <w:rPr>
                <w:sz w:val="20"/>
                <w:szCs w:val="20"/>
              </w:rPr>
              <w:t xml:space="preserve">uniform or </w:t>
            </w:r>
            <w:r w:rsidRPr="00CA0040">
              <w:rPr>
                <w:sz w:val="20"/>
                <w:szCs w:val="20"/>
              </w:rPr>
              <w:t xml:space="preserve">normal distribution. </w:t>
            </w:r>
          </w:p>
        </w:tc>
      </w:tr>
      <w:tr w:rsidR="00CA0040" w:rsidRPr="00CA0040" w14:paraId="1A3275C3" w14:textId="77777777" w:rsidTr="00A46D9B">
        <w:tc>
          <w:tcPr>
            <w:tcW w:w="2605" w:type="dxa"/>
          </w:tcPr>
          <w:p w14:paraId="66F206B7" w14:textId="183FF89F" w:rsidR="00CA0040" w:rsidRPr="00CA0040" w:rsidRDefault="00CA0040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RBA </w:t>
            </w:r>
            <w:r w:rsidRPr="00CA0040">
              <w:rPr>
                <w:sz w:val="20"/>
                <w:szCs w:val="20"/>
              </w:rPr>
              <w:t>CoV:</w:t>
            </w:r>
          </w:p>
        </w:tc>
        <w:tc>
          <w:tcPr>
            <w:tcW w:w="1620" w:type="dxa"/>
          </w:tcPr>
          <w:p w14:paraId="6DF881BB" w14:textId="3A809AD3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Pr="00CA0040"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</w:rPr>
              <w:t>0.15</w:t>
            </w:r>
            <w:r w:rsidRPr="00CA004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</w:t>
            </w:r>
            <w:r w:rsidRPr="00CA0040">
              <w:rPr>
                <w:sz w:val="20"/>
                <w:szCs w:val="20"/>
              </w:rPr>
              <w:t>3, Custom field</w:t>
            </w:r>
          </w:p>
        </w:tc>
        <w:tc>
          <w:tcPr>
            <w:tcW w:w="8725" w:type="dxa"/>
          </w:tcPr>
          <w:p w14:paraId="7195C84F" w14:textId="773988E1" w:rsidR="00CA0040" w:rsidRPr="00CA0040" w:rsidRDefault="00CA0040" w:rsidP="00CA0040">
            <w:pPr>
              <w:rPr>
                <w:sz w:val="20"/>
                <w:szCs w:val="20"/>
              </w:rPr>
            </w:pPr>
            <w:r w:rsidRPr="00CA0040">
              <w:rPr>
                <w:sz w:val="20"/>
                <w:szCs w:val="20"/>
              </w:rPr>
              <w:t xml:space="preserve">CoV is used to quantitively estimate </w:t>
            </w:r>
            <w:r>
              <w:rPr>
                <w:sz w:val="20"/>
                <w:szCs w:val="20"/>
              </w:rPr>
              <w:t xml:space="preserve">assumed </w:t>
            </w:r>
            <w:r w:rsidRPr="00CA0040">
              <w:rPr>
                <w:sz w:val="20"/>
                <w:szCs w:val="20"/>
              </w:rPr>
              <w:t xml:space="preserve">variability in </w:t>
            </w:r>
            <w:r>
              <w:rPr>
                <w:sz w:val="20"/>
                <w:szCs w:val="20"/>
              </w:rPr>
              <w:t>% RBA</w:t>
            </w:r>
            <w:r w:rsidRPr="00CA0040">
              <w:rPr>
                <w:sz w:val="20"/>
                <w:szCs w:val="20"/>
              </w:rPr>
              <w:t xml:space="preserve"> across the DU. The higher the CoV, the greater the assumed variability in </w:t>
            </w:r>
            <w:r>
              <w:rPr>
                <w:sz w:val="20"/>
                <w:szCs w:val="20"/>
              </w:rPr>
              <w:t>% RBA</w:t>
            </w:r>
            <w:r w:rsidRPr="00CA0040">
              <w:rPr>
                <w:sz w:val="20"/>
                <w:szCs w:val="20"/>
              </w:rPr>
              <w:t xml:space="preserve"> across the DU.  </w:t>
            </w:r>
          </w:p>
        </w:tc>
      </w:tr>
      <w:tr w:rsidR="00CA0040" w:rsidRPr="00CA0040" w14:paraId="3D5A36E4" w14:textId="77777777" w:rsidTr="00A46D9B">
        <w:tc>
          <w:tcPr>
            <w:tcW w:w="2605" w:type="dxa"/>
          </w:tcPr>
          <w:p w14:paraId="27A2877A" w14:textId="39BA61E1" w:rsidR="00CA0040" w:rsidRPr="00CA0040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RBA mean:</w:t>
            </w:r>
          </w:p>
        </w:tc>
        <w:tc>
          <w:tcPr>
            <w:tcW w:w="1620" w:type="dxa"/>
          </w:tcPr>
          <w:p w14:paraId="213409A5" w14:textId="46E9F2EF" w:rsidR="00CA0040" w:rsidRPr="00CA0040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60%, Custom field</w:t>
            </w:r>
          </w:p>
        </w:tc>
        <w:tc>
          <w:tcPr>
            <w:tcW w:w="8725" w:type="dxa"/>
          </w:tcPr>
          <w:p w14:paraId="6462CCDD" w14:textId="24184ACC" w:rsidR="00CA0040" w:rsidRPr="00CA0040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previously noted, the DU’s true [bioMetal] must be assumed. The tool calculates the true [bioMetal] based on two inputs: 1) the user input AL, and 2) the assumed level of soil contamination to simulate (expressed in terms of % below/above the action level). For example, when an AL of 400 ppm and assumed level of soil contamination 25% above the AL are input, the tool calculates the assumed [bioMetal] as 400 x 1.25 =  500 ppm. Since, [bioMetal] = [total soil] x %RBA, inputting the assumed %RBA allows the tool to calculate the assumed [total soil] to enable the simulation to be run.     </w:t>
            </w:r>
          </w:p>
        </w:tc>
      </w:tr>
      <w:tr w:rsidR="00A46D9B" w:rsidRPr="00CA0040" w14:paraId="5C68AEB2" w14:textId="77777777" w:rsidTr="00A46D9B">
        <w:tc>
          <w:tcPr>
            <w:tcW w:w="12950" w:type="dxa"/>
            <w:gridSpan w:val="3"/>
            <w:shd w:val="clear" w:color="auto" w:fill="D9D9D9" w:themeFill="background1" w:themeFillShade="D9"/>
          </w:tcPr>
          <w:p w14:paraId="1013A334" w14:textId="748652C0" w:rsidR="00A46D9B" w:rsidRPr="00393639" w:rsidRDefault="00A46D9B" w:rsidP="00A46D9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93639">
              <w:rPr>
                <w:b/>
                <w:bCs/>
                <w:i/>
                <w:iCs/>
                <w:sz w:val="20"/>
                <w:szCs w:val="20"/>
              </w:rPr>
              <w:t>Simulation Parameters</w:t>
            </w:r>
          </w:p>
        </w:tc>
      </w:tr>
      <w:tr w:rsidR="00CA0040" w:rsidRPr="00CA0040" w14:paraId="59398A3D" w14:textId="77777777" w:rsidTr="00A46D9B">
        <w:tc>
          <w:tcPr>
            <w:tcW w:w="2605" w:type="dxa"/>
          </w:tcPr>
          <w:p w14:paraId="0C7DF80A" w14:textId="0062D46E" w:rsidR="00CA0040" w:rsidRPr="00CA0040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Simulate measurement error for total concentration</w:t>
            </w:r>
          </w:p>
        </w:tc>
        <w:tc>
          <w:tcPr>
            <w:tcW w:w="1620" w:type="dxa"/>
          </w:tcPr>
          <w:p w14:paraId="57A15B4B" w14:textId="0A88F065" w:rsidR="00CA0040" w:rsidRPr="00CA0040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false</w:t>
            </w:r>
          </w:p>
        </w:tc>
        <w:tc>
          <w:tcPr>
            <w:tcW w:w="8725" w:type="dxa"/>
          </w:tcPr>
          <w:p w14:paraId="643826E8" w14:textId="5D9FA86C" w:rsidR="00CA0040" w:rsidRPr="00CA0040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‘true’ is selected, the tool assumes analytical error in the measurement of total soil metal concentration</w:t>
            </w:r>
            <w:r w:rsidR="000304F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0304FA">
              <w:rPr>
                <w:sz w:val="20"/>
                <w:szCs w:val="20"/>
              </w:rPr>
              <w:t xml:space="preserve">The measurement + error values are modeled as a normal distribution centered on the true total soil metal concentrations so that 95% of the probability distribution falls within </w:t>
            </w:r>
            <w:r w:rsidR="000304FA">
              <w:rPr>
                <w:rFonts w:ascii="Calibri" w:hAnsi="Calibri" w:cs="Calibri"/>
                <w:sz w:val="20"/>
                <w:szCs w:val="20"/>
              </w:rPr>
              <w:t>±</w:t>
            </w:r>
            <w:r w:rsidR="000304FA">
              <w:rPr>
                <w:sz w:val="20"/>
                <w:szCs w:val="20"/>
              </w:rPr>
              <w:t xml:space="preserve"> 10% of the true value, i.e., with standard deviation = 0.05*true mean. </w:t>
            </w:r>
            <w:r>
              <w:rPr>
                <w:sz w:val="20"/>
                <w:szCs w:val="20"/>
              </w:rPr>
              <w:t xml:space="preserve">When ‘false’ is selected, the tool assumes analytic measurement of total soil concentration = the true total soil metal concentration.  </w:t>
            </w:r>
          </w:p>
        </w:tc>
      </w:tr>
      <w:tr w:rsidR="00A46D9B" w:rsidRPr="00CA0040" w14:paraId="06F78EB4" w14:textId="77777777" w:rsidTr="00A46D9B">
        <w:tc>
          <w:tcPr>
            <w:tcW w:w="2605" w:type="dxa"/>
          </w:tcPr>
          <w:p w14:paraId="489D0D16" w14:textId="349A8749" w:rsidR="00A46D9B" w:rsidRPr="00A46D9B" w:rsidRDefault="00A46D9B" w:rsidP="00CA0040">
            <w:pPr>
              <w:rPr>
                <w:sz w:val="20"/>
                <w:szCs w:val="20"/>
              </w:rPr>
            </w:pPr>
            <w:r w:rsidRPr="00A46D9B">
              <w:rPr>
                <w:sz w:val="20"/>
                <w:szCs w:val="20"/>
              </w:rPr>
              <w:t>Simulate IVBA model error</w:t>
            </w:r>
          </w:p>
        </w:tc>
        <w:tc>
          <w:tcPr>
            <w:tcW w:w="1620" w:type="dxa"/>
          </w:tcPr>
          <w:p w14:paraId="4C0BEE31" w14:textId="0D233D78" w:rsidR="00A46D9B" w:rsidRPr="00A46D9B" w:rsidRDefault="00A46D9B" w:rsidP="00CA0040">
            <w:pPr>
              <w:rPr>
                <w:sz w:val="20"/>
                <w:szCs w:val="20"/>
              </w:rPr>
            </w:pPr>
            <w:r w:rsidRPr="00A46D9B">
              <w:rPr>
                <w:sz w:val="20"/>
                <w:szCs w:val="20"/>
              </w:rPr>
              <w:t>True, false</w:t>
            </w:r>
          </w:p>
        </w:tc>
        <w:tc>
          <w:tcPr>
            <w:tcW w:w="8725" w:type="dxa"/>
          </w:tcPr>
          <w:p w14:paraId="00BDA88B" w14:textId="3459A4B9" w:rsidR="00A46D9B" w:rsidRPr="00A46D9B" w:rsidRDefault="00A46D9B" w:rsidP="00A46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‘true’ is selected, the tool incorporates uncertainty in prediction of % RBA from % IVBA associated with the in-vivo / in-vitro correlation models that have been validated for Pb and As.</w:t>
            </w:r>
            <w:r w:rsidR="00E16329">
              <w:rPr>
                <w:sz w:val="20"/>
                <w:szCs w:val="20"/>
              </w:rPr>
              <w:t xml:space="preserve"> </w:t>
            </w:r>
            <w:r w:rsidR="00861847">
              <w:rPr>
                <w:sz w:val="20"/>
                <w:szCs w:val="20"/>
              </w:rPr>
              <w:t>Prediction error is</w:t>
            </w:r>
            <w:r w:rsidR="00E16329">
              <w:rPr>
                <w:sz w:val="20"/>
                <w:szCs w:val="20"/>
              </w:rPr>
              <w:t xml:space="preserve"> </w:t>
            </w:r>
            <w:r w:rsidR="00861847">
              <w:rPr>
                <w:sz w:val="20"/>
                <w:szCs w:val="20"/>
              </w:rPr>
              <w:t xml:space="preserve">drawn from a normal distribution with standard deviation </w:t>
            </w:r>
            <w:r w:rsidR="00E16329">
              <w:rPr>
                <w:sz w:val="20"/>
                <w:szCs w:val="20"/>
              </w:rPr>
              <w:t>calculated from the published</w:t>
            </w:r>
            <w:r w:rsidR="00861847">
              <w:rPr>
                <w:sz w:val="20"/>
                <w:szCs w:val="20"/>
              </w:rPr>
              <w:t xml:space="preserve"> 95%</w:t>
            </w:r>
            <w:r w:rsidR="00E16329">
              <w:rPr>
                <w:sz w:val="20"/>
                <w:szCs w:val="20"/>
              </w:rPr>
              <w:t xml:space="preserve"> prediction interval</w:t>
            </w:r>
            <w:r w:rsidR="00861847">
              <w:rPr>
                <w:sz w:val="20"/>
                <w:szCs w:val="20"/>
              </w:rPr>
              <w:t xml:space="preserve">, </w:t>
            </w:r>
            <w:r w:rsidR="00901A19">
              <w:rPr>
                <w:sz w:val="20"/>
                <w:szCs w:val="20"/>
              </w:rPr>
              <w:t>i.e.,</w:t>
            </w:r>
            <w:r w:rsidR="00861847">
              <w:rPr>
                <w:sz w:val="20"/>
                <w:szCs w:val="20"/>
              </w:rPr>
              <w:t xml:space="preserve"> </w:t>
            </w:r>
            <w:r w:rsidR="00901A19">
              <w:rPr>
                <w:sz w:val="20"/>
                <w:szCs w:val="20"/>
              </w:rPr>
              <w:t>standard deviation = (0.5*95% prediction interval range)/1.96</w:t>
            </w:r>
            <w:r w:rsidR="0086184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When ‘false’ is selected, the tool assumes that the estimated %RBA based on measurement of %IVBA equals the samples true %RBA.   </w:t>
            </w:r>
          </w:p>
        </w:tc>
      </w:tr>
      <w:tr w:rsidR="00A46D9B" w:rsidRPr="00CA0040" w14:paraId="1ADDB6AE" w14:textId="77777777" w:rsidTr="00BF522B">
        <w:tc>
          <w:tcPr>
            <w:tcW w:w="2605" w:type="dxa"/>
            <w:tcBorders>
              <w:bottom w:val="single" w:sz="4" w:space="0" w:color="auto"/>
            </w:tcBorders>
          </w:tcPr>
          <w:p w14:paraId="6D86C8FD" w14:textId="119F2A5C" w:rsidR="00A46D9B" w:rsidRPr="00A46D9B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simulations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6D98B4B" w14:textId="23B6AD06" w:rsidR="00A46D9B" w:rsidRPr="00A46D9B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field</w:t>
            </w:r>
          </w:p>
        </w:tc>
        <w:tc>
          <w:tcPr>
            <w:tcW w:w="8725" w:type="dxa"/>
            <w:tcBorders>
              <w:bottom w:val="single" w:sz="4" w:space="0" w:color="auto"/>
            </w:tcBorders>
          </w:tcPr>
          <w:p w14:paraId="42C1AB84" w14:textId="44C56CD7" w:rsidR="00A46D9B" w:rsidRPr="00A46D9B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select the number of times the simulation is run. The higher the number of simulations, the more precise Type 1 or 2 error estimates are when the analysis is repeated, but the longer the run time. 5,000 simulations is the default value. </w:t>
            </w:r>
          </w:p>
        </w:tc>
      </w:tr>
      <w:tr w:rsidR="00A46D9B" w:rsidRPr="00CA0040" w14:paraId="217CEE65" w14:textId="77777777" w:rsidTr="00BF522B">
        <w:tc>
          <w:tcPr>
            <w:tcW w:w="1295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7AC8FA" w14:textId="1FF9E2F2" w:rsidR="00A46D9B" w:rsidRPr="00393639" w:rsidRDefault="00A46D9B" w:rsidP="00A46D9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93639">
              <w:rPr>
                <w:b/>
                <w:bCs/>
                <w:i/>
                <w:iCs/>
                <w:sz w:val="20"/>
                <w:szCs w:val="20"/>
              </w:rPr>
              <w:t>Optional Advanced Tool-Automated Analyses</w:t>
            </w:r>
          </w:p>
        </w:tc>
      </w:tr>
      <w:tr w:rsidR="00A46D9B" w:rsidRPr="00CA0040" w14:paraId="4FDB7297" w14:textId="77777777" w:rsidTr="00A46D9B">
        <w:tc>
          <w:tcPr>
            <w:tcW w:w="2605" w:type="dxa"/>
          </w:tcPr>
          <w:p w14:paraId="4FFECE9D" w14:textId="48BD582B" w:rsidR="00A46D9B" w:rsidRPr="00A46D9B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393639">
              <w:rPr>
                <w:sz w:val="20"/>
                <w:szCs w:val="20"/>
              </w:rPr>
              <w:t xml:space="preserve">advanced </w:t>
            </w:r>
            <w:r>
              <w:rPr>
                <w:sz w:val="20"/>
                <w:szCs w:val="20"/>
              </w:rPr>
              <w:t>analysis type</w:t>
            </w:r>
          </w:p>
        </w:tc>
        <w:tc>
          <w:tcPr>
            <w:tcW w:w="1620" w:type="dxa"/>
          </w:tcPr>
          <w:p w14:paraId="7D493C91" w14:textId="7D609C74" w:rsidR="00A46D9B" w:rsidRPr="00A46D9B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None, Vary Sample Size, </w:t>
            </w:r>
            <w:r>
              <w:rPr>
                <w:sz w:val="20"/>
                <w:szCs w:val="20"/>
              </w:rPr>
              <w:lastRenderedPageBreak/>
              <w:t>Vary Contaminant Level</w:t>
            </w:r>
          </w:p>
        </w:tc>
        <w:tc>
          <w:tcPr>
            <w:tcW w:w="8725" w:type="dxa"/>
          </w:tcPr>
          <w:p w14:paraId="32EF97A7" w14:textId="53DC0F98" w:rsidR="00A46D9B" w:rsidRDefault="00A46D9B" w:rsidP="00CA0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If ‘None’ is selected, no advanced tool-automated analyses will be simulated. </w:t>
            </w:r>
          </w:p>
          <w:p w14:paraId="1E6556CD" w14:textId="77777777" w:rsidR="00A46D9B" w:rsidRDefault="00A46D9B" w:rsidP="00CA0040">
            <w:pPr>
              <w:rPr>
                <w:sz w:val="20"/>
                <w:szCs w:val="20"/>
              </w:rPr>
            </w:pPr>
          </w:p>
          <w:p w14:paraId="7EC64384" w14:textId="5E7D3A9F" w:rsidR="00A46D9B" w:rsidRDefault="00A46D9B" w:rsidP="00A46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If ‘Vary Sample Size’ is selected, the tool will re-simulate the analysis by simulating n+1 samples analyzed for total soil metal concentration and % IVBA, up to the user-input maximum number of samples to simulate -- input via a dropdown menu that will appear when this option is selected. For example, if the user initially selects 3 samples be analyzed for totals and 2 samples be analyzed for % IVBA, the tool will re-simulate the analysis by adding one additional sample to each analysis (i.e., n=4 for totals and 3 for IVBA; n=5 for totals and 4 for IVBA; n= 6 for totals and 5 for IVBA; …) up to the user-input maximum number of samples to simulate. Type 1 or 2 error estimates will be output to the Sample Simulation Tab on the right half of the screen via a graph that shows how Type 1 or 2 error estimates vary based on the number of samples analyzed for totals and %IVBA. </w:t>
            </w:r>
          </w:p>
          <w:p w14:paraId="3AFAE5A0" w14:textId="77777777" w:rsidR="00A46D9B" w:rsidRDefault="00A46D9B" w:rsidP="00A46D9B">
            <w:pPr>
              <w:rPr>
                <w:sz w:val="20"/>
                <w:szCs w:val="20"/>
              </w:rPr>
            </w:pPr>
          </w:p>
          <w:p w14:paraId="0784923F" w14:textId="77777777" w:rsidR="00A46D9B" w:rsidRDefault="00A46D9B" w:rsidP="00A46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‘Vary Contaminant Level’ is selected, the tool will run a series of simulations where the assumed </w:t>
            </w:r>
            <w:r w:rsidRPr="00CA0040">
              <w:rPr>
                <w:sz w:val="20"/>
                <w:szCs w:val="20"/>
              </w:rPr>
              <w:t>level of soil contamination (expressed in terms of % below/above the action level)</w:t>
            </w:r>
            <w:r>
              <w:rPr>
                <w:sz w:val="20"/>
                <w:szCs w:val="20"/>
              </w:rPr>
              <w:t xml:space="preserve"> is automatically adjusted based on the user-input minimum (%), maximum (%), and # of simulation intervals – input via dropdown menus that will appear when this option is selected. For example, if the user inputs: minimum (%) = 10%;  maximum (%) = 90%; and # simulation intervals = 10, the tool will run a series of simulations starting with an assumption that the DU’s true [bioMetal] is 10% above the AL, and then proceeding all the way up to 90% above the AL by adding 10% to the assumed true [bioMetal] (i.e., scenarios of 10%, 20%, 30%, 40%, 50%, 60%, 70%, 80% and 90% above the AL will be simulated). Type 1 or 2 error estimates will be output to the Sample Simulation Tab on the right half of the screen via a graph that shows how Type 1 or 2 error estimates vary based on the assumed level of soil contamination. </w:t>
            </w:r>
          </w:p>
          <w:p w14:paraId="574DA079" w14:textId="77777777" w:rsidR="00393639" w:rsidRDefault="00393639" w:rsidP="00A46D9B">
            <w:pPr>
              <w:rPr>
                <w:b/>
                <w:bCs/>
                <w:sz w:val="20"/>
                <w:szCs w:val="20"/>
              </w:rPr>
            </w:pPr>
          </w:p>
          <w:p w14:paraId="7DA57737" w14:textId="14BEFC0E" w:rsidR="00A46D9B" w:rsidRPr="00A46D9B" w:rsidRDefault="00A46D9B" w:rsidP="00A46D9B">
            <w:pPr>
              <w:rPr>
                <w:sz w:val="20"/>
                <w:szCs w:val="20"/>
              </w:rPr>
            </w:pPr>
            <w:r w:rsidRPr="00A46D9B">
              <w:rPr>
                <w:b/>
                <w:bCs/>
                <w:sz w:val="20"/>
                <w:szCs w:val="20"/>
              </w:rPr>
              <w:t>Note</w:t>
            </w:r>
            <w:r>
              <w:rPr>
                <w:sz w:val="20"/>
                <w:szCs w:val="20"/>
              </w:rPr>
              <w:t xml:space="preserve">: </w:t>
            </w:r>
            <w:r w:rsidR="00393639">
              <w:rPr>
                <w:sz w:val="20"/>
                <w:szCs w:val="20"/>
              </w:rPr>
              <w:t xml:space="preserve">The tool is currently coded in a way that requires that the range in contaminant level explored must all be either positive (+) (to evaluate variability in Type 1 error estimates) or negative (-) (to evaluate variability in Type 2 error measurements) relative to the action level. It can’t correctly compute inputs that span – and + range.     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</w:tbl>
    <w:p w14:paraId="33A4CAAA" w14:textId="774DDA1A" w:rsidR="00A645DA" w:rsidRDefault="00BF522B">
      <w:pPr>
        <w:rPr>
          <w:sz w:val="22"/>
          <w:szCs w:val="22"/>
        </w:rPr>
      </w:pPr>
    </w:p>
    <w:p w14:paraId="00B511F5" w14:textId="3D7E96E1" w:rsidR="00393639" w:rsidRDefault="00393639">
      <w:pPr>
        <w:rPr>
          <w:sz w:val="22"/>
          <w:szCs w:val="22"/>
        </w:rPr>
      </w:pPr>
    </w:p>
    <w:p w14:paraId="0DA107CA" w14:textId="77777777" w:rsidR="00393639" w:rsidRPr="00EB067C" w:rsidRDefault="00393639" w:rsidP="00393639">
      <w:pPr>
        <w:rPr>
          <w:b/>
          <w:bCs/>
        </w:rPr>
      </w:pPr>
      <w:r w:rsidRPr="00EB067C">
        <w:rPr>
          <w:b/>
          <w:bCs/>
        </w:rPr>
        <w:t>References</w:t>
      </w:r>
    </w:p>
    <w:p w14:paraId="75B49397" w14:textId="77777777" w:rsidR="00393639" w:rsidRPr="00EB067C" w:rsidRDefault="00393639" w:rsidP="00393639"/>
    <w:p w14:paraId="2B8F0570" w14:textId="77777777" w:rsidR="00393639" w:rsidRPr="00EB067C" w:rsidRDefault="00393639" w:rsidP="00393639">
      <w:r w:rsidRPr="00C621CF">
        <w:rPr>
          <w:rStyle w:val="authors"/>
          <w:color w:val="333333"/>
          <w:shd w:val="clear" w:color="auto" w:fill="FFFFFF"/>
        </w:rPr>
        <w:t>Diamond GL; Bradham KD; Brattin WJ; Burgess M; Griffin S; Hawkins CA; Juhasz AL; Klotzbach JM; Nelson C; Lowney YW; Scheckel KG; Thomas DJ.</w:t>
      </w:r>
      <w:r w:rsidRPr="00EB067C">
        <w:rPr>
          <w:shd w:val="clear" w:color="auto" w:fill="FFFFFF"/>
        </w:rPr>
        <w:t> </w:t>
      </w:r>
      <w:r w:rsidRPr="00C621CF">
        <w:rPr>
          <w:rStyle w:val="Date1"/>
          <w:color w:val="333333"/>
          <w:shd w:val="clear" w:color="auto" w:fill="FFFFFF"/>
        </w:rPr>
        <w:t>(2016)</w:t>
      </w:r>
      <w:r w:rsidRPr="00EB067C">
        <w:rPr>
          <w:shd w:val="clear" w:color="auto" w:fill="FFFFFF"/>
        </w:rPr>
        <w:t> </w:t>
      </w:r>
      <w:r w:rsidRPr="00C621CF">
        <w:rPr>
          <w:rStyle w:val="arttitle"/>
          <w:color w:val="333333"/>
          <w:shd w:val="clear" w:color="auto" w:fill="FFFFFF"/>
        </w:rPr>
        <w:t>Predicting oral relative bioavailability of arsenic in soil from in vitro bioaccessibility,</w:t>
      </w:r>
      <w:r w:rsidRPr="00EB067C">
        <w:rPr>
          <w:shd w:val="clear" w:color="auto" w:fill="FFFFFF"/>
        </w:rPr>
        <w:t> </w:t>
      </w:r>
      <w:r w:rsidRPr="00C621CF">
        <w:rPr>
          <w:rStyle w:val="serialtitle"/>
          <w:color w:val="333333"/>
          <w:shd w:val="clear" w:color="auto" w:fill="FFFFFF"/>
        </w:rPr>
        <w:t>Journal of Toxicology and Environmental Health, Part A,</w:t>
      </w:r>
      <w:r w:rsidRPr="00EB067C">
        <w:rPr>
          <w:shd w:val="clear" w:color="auto" w:fill="FFFFFF"/>
        </w:rPr>
        <w:t> </w:t>
      </w:r>
      <w:r w:rsidRPr="00C621CF">
        <w:rPr>
          <w:rStyle w:val="volumeissue"/>
          <w:color w:val="333333"/>
          <w:shd w:val="clear" w:color="auto" w:fill="FFFFFF"/>
        </w:rPr>
        <w:t>79:4,</w:t>
      </w:r>
      <w:r w:rsidRPr="00EB067C">
        <w:rPr>
          <w:shd w:val="clear" w:color="auto" w:fill="FFFFFF"/>
        </w:rPr>
        <w:t> </w:t>
      </w:r>
      <w:r w:rsidRPr="00C621CF">
        <w:rPr>
          <w:rStyle w:val="pagerange"/>
          <w:color w:val="333333"/>
          <w:shd w:val="clear" w:color="auto" w:fill="FFFFFF"/>
        </w:rPr>
        <w:t>165-173,</w:t>
      </w:r>
      <w:r w:rsidRPr="00EB067C">
        <w:rPr>
          <w:shd w:val="clear" w:color="auto" w:fill="FFFFFF"/>
        </w:rPr>
        <w:t> </w:t>
      </w:r>
      <w:r w:rsidRPr="00C621CF">
        <w:rPr>
          <w:rStyle w:val="doilink"/>
          <w:color w:val="333333"/>
          <w:shd w:val="clear" w:color="auto" w:fill="FFFFFF"/>
        </w:rPr>
        <w:t>DOI: </w:t>
      </w:r>
      <w:hyperlink r:id="rId5" w:history="1">
        <w:r w:rsidRPr="00C621CF">
          <w:rPr>
            <w:rStyle w:val="Hyperlink"/>
            <w:color w:val="333333"/>
            <w:shd w:val="clear" w:color="auto" w:fill="FFFFFF"/>
          </w:rPr>
          <w:t>10.1080/15287394.2015.1134038</w:t>
        </w:r>
      </w:hyperlink>
    </w:p>
    <w:p w14:paraId="28D05DA6" w14:textId="77777777" w:rsidR="00393639" w:rsidRPr="00EB067C" w:rsidRDefault="00393639" w:rsidP="00393639"/>
    <w:p w14:paraId="5CA5797A" w14:textId="77777777" w:rsidR="00393639" w:rsidRPr="00EB067C" w:rsidRDefault="00393639" w:rsidP="00393639">
      <w:r w:rsidRPr="00EB067C">
        <w:t xml:space="preserve">U.S. EPA (U.S. Environmental Protection Agency).  (2006) Guidance on Systematic Planning Using the Data Quality Objectives Process.  EPA QA/G-4.  U.S. Environmental Protection Agency, Office of Environmental Information: Washington, DC.  EPA/240/B-06/001.  February.  Available online at: </w:t>
      </w:r>
      <w:hyperlink r:id="rId6" w:history="1">
        <w:r w:rsidRPr="00EB067C">
          <w:rPr>
            <w:rStyle w:val="Hyperlink"/>
          </w:rPr>
          <w:t>https://www.epa.gov/sites/production/files/2015-06/documents/g4-final.pdf</w:t>
        </w:r>
      </w:hyperlink>
      <w:r w:rsidRPr="00EB067C">
        <w:t>.</w:t>
      </w:r>
    </w:p>
    <w:p w14:paraId="533224CC" w14:textId="77777777" w:rsidR="00393639" w:rsidRPr="00EB067C" w:rsidRDefault="00393639" w:rsidP="00393639"/>
    <w:p w14:paraId="45BA7A07" w14:textId="77777777" w:rsidR="00393639" w:rsidRPr="00EB067C" w:rsidRDefault="00393639" w:rsidP="00393639">
      <w:r w:rsidRPr="00EB067C">
        <w:t xml:space="preserve">U.S. EPA (U.S. Environmental Protection Agency).  2020.  Guidance for Sample Collection for </w:t>
      </w:r>
      <w:r w:rsidRPr="00EB067C">
        <w:rPr>
          <w:i/>
          <w:iCs/>
        </w:rPr>
        <w:t>In Vitro</w:t>
      </w:r>
      <w:r w:rsidRPr="00EB067C">
        <w:t xml:space="preserve"> Bioaccessibility Assay for Arsenic and Lead in Soil and Applications of Relative Bioavailability Data in Human Health Risk Assessment. OSWER 9200.3-100a. U.S. Environmental Protection Agency, Office of Environmental Information: Washington, DC.  EPA/240/B-06/001.  September.  Available online at: </w:t>
      </w:r>
      <w:hyperlink r:id="rId7" w:history="1">
        <w:r w:rsidRPr="00EB067C">
          <w:rPr>
            <w:rStyle w:val="Hyperlink"/>
          </w:rPr>
          <w:t>https://www.epa.gov/superfund/soil-bioavailability-superfund-sites-guidance</w:t>
        </w:r>
      </w:hyperlink>
    </w:p>
    <w:p w14:paraId="3C6F1C64" w14:textId="77777777" w:rsidR="00393639" w:rsidRPr="00CA0040" w:rsidRDefault="00393639">
      <w:pPr>
        <w:rPr>
          <w:sz w:val="22"/>
          <w:szCs w:val="22"/>
        </w:rPr>
      </w:pPr>
    </w:p>
    <w:sectPr w:rsidR="00393639" w:rsidRPr="00CA0040" w:rsidSect="00CA00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28EC"/>
    <w:multiLevelType w:val="hybridMultilevel"/>
    <w:tmpl w:val="5260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729"/>
    <w:multiLevelType w:val="hybridMultilevel"/>
    <w:tmpl w:val="B1A4654C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40"/>
    <w:rsid w:val="000304FA"/>
    <w:rsid w:val="0012570D"/>
    <w:rsid w:val="002255F7"/>
    <w:rsid w:val="00293B67"/>
    <w:rsid w:val="00393639"/>
    <w:rsid w:val="00454093"/>
    <w:rsid w:val="004E6693"/>
    <w:rsid w:val="005A4E70"/>
    <w:rsid w:val="005C22C1"/>
    <w:rsid w:val="007207B2"/>
    <w:rsid w:val="007C7CB7"/>
    <w:rsid w:val="00861847"/>
    <w:rsid w:val="00901A19"/>
    <w:rsid w:val="00983856"/>
    <w:rsid w:val="00A46D9B"/>
    <w:rsid w:val="00A9463D"/>
    <w:rsid w:val="00B81335"/>
    <w:rsid w:val="00BF522B"/>
    <w:rsid w:val="00CA0040"/>
    <w:rsid w:val="00D935EA"/>
    <w:rsid w:val="00E16329"/>
    <w:rsid w:val="00F7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A576"/>
  <w14:defaultImageDpi w14:val="32767"/>
  <w15:chartTrackingRefBased/>
  <w15:docId w15:val="{AF11CCD3-5D2B-634B-A760-93A5A9AF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639"/>
    <w:rPr>
      <w:color w:val="0000FF"/>
      <w:u w:val="single"/>
    </w:rPr>
  </w:style>
  <w:style w:type="character" w:customStyle="1" w:styleId="authors">
    <w:name w:val="authors"/>
    <w:basedOn w:val="DefaultParagraphFont"/>
    <w:rsid w:val="00393639"/>
  </w:style>
  <w:style w:type="character" w:customStyle="1" w:styleId="Date1">
    <w:name w:val="Date1"/>
    <w:basedOn w:val="DefaultParagraphFont"/>
    <w:rsid w:val="00393639"/>
  </w:style>
  <w:style w:type="character" w:customStyle="1" w:styleId="arttitle">
    <w:name w:val="art_title"/>
    <w:basedOn w:val="DefaultParagraphFont"/>
    <w:rsid w:val="00393639"/>
  </w:style>
  <w:style w:type="character" w:customStyle="1" w:styleId="serialtitle">
    <w:name w:val="serial_title"/>
    <w:basedOn w:val="DefaultParagraphFont"/>
    <w:rsid w:val="00393639"/>
  </w:style>
  <w:style w:type="character" w:customStyle="1" w:styleId="volumeissue">
    <w:name w:val="volume_issue"/>
    <w:basedOn w:val="DefaultParagraphFont"/>
    <w:rsid w:val="00393639"/>
  </w:style>
  <w:style w:type="character" w:customStyle="1" w:styleId="pagerange">
    <w:name w:val="page_range"/>
    <w:basedOn w:val="DefaultParagraphFont"/>
    <w:rsid w:val="00393639"/>
  </w:style>
  <w:style w:type="character" w:customStyle="1" w:styleId="doilink">
    <w:name w:val="doi_link"/>
    <w:basedOn w:val="DefaultParagraphFont"/>
    <w:rsid w:val="00393639"/>
  </w:style>
  <w:style w:type="character" w:styleId="CommentReference">
    <w:name w:val="annotation reference"/>
    <w:basedOn w:val="DefaultParagraphFont"/>
    <w:uiPriority w:val="99"/>
    <w:semiHidden/>
    <w:unhideWhenUsed/>
    <w:rsid w:val="00393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36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3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6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30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pa.gov/superfund/soil-bioavailability-superfund-sites-guid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sites/production/files/2015-06/documents/g4-final.pdf" TargetMode="External"/><Relationship Id="rId5" Type="http://schemas.openxmlformats.org/officeDocument/2006/relationships/hyperlink" Target="https://doi.org/10.1080/15287394.2015.11340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Nelson</dc:creator>
  <cp:keywords/>
  <dc:description/>
  <cp:lastModifiedBy>Li, Kevin</cp:lastModifiedBy>
  <cp:revision>4</cp:revision>
  <dcterms:created xsi:type="dcterms:W3CDTF">2022-01-23T18:32:00Z</dcterms:created>
  <dcterms:modified xsi:type="dcterms:W3CDTF">2022-01-23T18:36:00Z</dcterms:modified>
</cp:coreProperties>
</file>