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USD Funding Spread Curve</w:t>
        <w:br/>
        <w:t>Methodology and System AI Instructions</w:t>
      </w:r>
    </w:p>
    <w:p>
      <w:pPr>
        <w:jc w:val="center"/>
      </w:pPr>
      <w:r>
        <w:rPr>
          <w:b/>
          <w:color w:val="44546A"/>
          <w:sz w:val="23"/>
        </w:rPr>
        <w:t>30 September 2026 valuation framework</w:t>
      </w:r>
    </w:p>
    <w:p>
      <w:pPr>
        <w:jc w:val="center"/>
      </w:pPr>
      <w:r>
        <w:rPr>
          <w:sz w:val="20"/>
        </w:rPr>
        <w:t>Purpose: construct one funding discount curve for three floating funding deals using market SOFR data and contractual spreads only, without reverse-engineering from reported PV or MTM.</w:t>
      </w:r>
    </w:p>
    <w:tbl>
      <w:tblPr>
        <w:tblW w:type="auto" w:w="0"/>
        <w:jc w:val="center"/>
        <w:tblLook w:firstColumn="1" w:firstRow="1" w:lastColumn="0" w:lastRow="0" w:noHBand="0" w:noVBand="1" w:val="04A0"/>
      </w:tblPr>
      <w:tblGrid>
        <w:gridCol w:w="10166"/>
      </w:tblGrid>
      <w:tr>
        <w:tc>
          <w:tcPr>
            <w:tcW w:type="dxa" w:w="10166"/>
            <w:shd w:fill="EAF2F8"/>
          </w:tcPr>
          <w:p>
            <w:pPr>
              <w:jc w:val="center"/>
            </w:pPr>
            <w:r/>
            <w:r>
              <w:rPr>
                <w:b/>
                <w:color w:val="17365D"/>
                <w:sz w:val="22"/>
              </w:rPr>
              <w:t>Core objective</w:t>
            </w:r>
          </w:p>
          <w:p>
            <w:pPr>
              <w:jc w:val="center"/>
            </w:pPr>
            <w:r>
              <w:t>Translate the three contractual forward funding spreads into the spot-starting curve-spread inputs required by the system curve builder, then validate the resulting discount factors and forward spreads independently of the reported MTM.</w:t>
            </w:r>
          </w:p>
        </w:tc>
      </w:tr>
    </w:tbl>
    <w:p>
      <w:pPr>
        <w:pStyle w:val="Heading1"/>
      </w:pPr>
      <w:r>
        <w:t>1. Contractual Funding Spread Schedule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048"/>
            <w:vAlign w:val="center"/>
            <w:shd w:fill="2F5597"/>
          </w:tcPr>
          <w:p>
            <w:pPr>
              <w:spacing w:after="0"/>
            </w:pPr>
            <w:r/>
            <w:r>
              <w:rPr>
                <w:rFonts w:ascii="Aptos" w:hAnsi="Aptos"/>
                <w:b/>
                <w:color w:val="FFFFFF"/>
                <w:sz w:val="18"/>
              </w:rPr>
              <w:t>Period</w:t>
            </w:r>
          </w:p>
        </w:tc>
        <w:tc>
          <w:tcPr>
            <w:tcW w:type="dxa" w:w="2160"/>
            <w:vAlign w:val="center"/>
            <w:shd w:fill="2F5597"/>
          </w:tcPr>
          <w:p>
            <w:pPr>
              <w:spacing w:after="0"/>
            </w:pPr>
            <w:r/>
            <w:r>
              <w:rPr>
                <w:rFonts w:ascii="Aptos" w:hAnsi="Aptos"/>
                <w:b/>
                <w:color w:val="FFFFFF"/>
                <w:sz w:val="18"/>
              </w:rPr>
              <w:t>Funding spread</w:t>
            </w:r>
          </w:p>
        </w:tc>
      </w:tr>
      <w:tr>
        <w:tc>
          <w:tcPr>
            <w:tcW w:type="dxa" w:w="6048"/>
            <w:vAlign w:val="center"/>
            <w:shd w:fill="F7F9FC"/>
          </w:tcPr>
          <w:p>
            <w:pPr>
              <w:spacing w:after="0"/>
            </w:pPr>
            <w:r/>
            <w:r>
              <w:rPr>
                <w:rFonts w:ascii="Aptos" w:hAnsi="Aptos"/>
                <w:b w:val="0"/>
                <w:sz w:val="18"/>
              </w:rPr>
              <w:t>Valuation date -&gt; 18 Mar 2027</w:t>
            </w:r>
          </w:p>
        </w:tc>
        <w:tc>
          <w:tcPr>
            <w:tcW w:type="dxa" w:w="2160"/>
            <w:vAlign w:val="center"/>
            <w:shd w:fill="F7F9FC"/>
          </w:tcPr>
          <w:p>
            <w:pPr>
              <w:spacing w:after="0"/>
            </w:pPr>
            <w:r/>
            <w:r>
              <w:rPr>
                <w:rFonts w:ascii="Aptos" w:hAnsi="Aptos"/>
                <w:b w:val="0"/>
                <w:sz w:val="18"/>
              </w:rPr>
              <w:t>1.21%</w:t>
            </w:r>
          </w:p>
        </w:tc>
      </w:tr>
      <w:tr>
        <w:tc>
          <w:tcPr>
            <w:tcW w:type="dxa" w:w="6048"/>
            <w:vAlign w:val="center"/>
          </w:tcPr>
          <w:p>
            <w:pPr>
              <w:spacing w:after="0"/>
            </w:pPr>
            <w:r/>
            <w:r>
              <w:rPr>
                <w:rFonts w:ascii="Aptos" w:hAnsi="Aptos"/>
                <w:b w:val="0"/>
                <w:sz w:val="18"/>
              </w:rPr>
              <w:t>18 Mar 2027 -&gt; 18 Mar 2032</w:t>
            </w:r>
          </w:p>
        </w:tc>
        <w:tc>
          <w:tcPr>
            <w:tcW w:type="dxa" w:w="2160"/>
            <w:vAlign w:val="center"/>
          </w:tcPr>
          <w:p>
            <w:pPr>
              <w:spacing w:after="0"/>
            </w:pPr>
            <w:r/>
            <w:r>
              <w:rPr>
                <w:rFonts w:ascii="Aptos" w:hAnsi="Aptos"/>
                <w:b w:val="0"/>
                <w:sz w:val="18"/>
              </w:rPr>
              <w:t>1.71%</w:t>
            </w:r>
          </w:p>
        </w:tc>
      </w:tr>
      <w:tr>
        <w:tc>
          <w:tcPr>
            <w:tcW w:type="dxa" w:w="6048"/>
            <w:vAlign w:val="center"/>
            <w:shd w:fill="F7F9FC"/>
          </w:tcPr>
          <w:p>
            <w:pPr>
              <w:spacing w:after="0"/>
            </w:pPr>
            <w:r/>
            <w:r>
              <w:rPr>
                <w:rFonts w:ascii="Aptos" w:hAnsi="Aptos"/>
                <w:b w:val="0"/>
                <w:sz w:val="18"/>
              </w:rPr>
              <w:t>18 Mar 2032 -&gt; 18 Mar 2052</w:t>
            </w:r>
          </w:p>
        </w:tc>
        <w:tc>
          <w:tcPr>
            <w:tcW w:type="dxa" w:w="2160"/>
            <w:vAlign w:val="center"/>
            <w:shd w:fill="F7F9FC"/>
          </w:tcPr>
          <w:p>
            <w:pPr>
              <w:spacing w:after="0"/>
            </w:pPr>
            <w:r/>
            <w:r>
              <w:rPr>
                <w:rFonts w:ascii="Aptos" w:hAnsi="Aptos"/>
                <w:b w:val="0"/>
                <w:sz w:val="18"/>
              </w:rPr>
              <w:t>1.51%</w:t>
            </w:r>
          </w:p>
        </w:tc>
      </w:tr>
    </w:tbl>
    <w:p>
      <w:pPr>
        <w:spacing w:after="20"/>
      </w:pPr>
    </w:p>
    <w:p>
      <w:r>
        <w:t>The valuation date is 30 Sep 2026. The system curve instruments start approximately 2 Oct 2026, so use the actual system instrument start dates when reproducing the system par quotes.</w:t>
      </w:r>
    </w:p>
    <w:p>
      <w:pPr>
        <w:pStyle w:val="Heading1"/>
      </w:pPr>
      <w:r>
        <w:t>2. Current Issue</w:t>
      </w:r>
    </w:p>
    <w:p>
      <w:r>
        <w:t>The existing simplified approach calculates a cumulative arithmetic or time-weighted average of 1.21%, 1.71% and 1.51%, then places that average directly into the system Curve spread column.</w:t>
      </w:r>
    </w:p>
    <w:p>
      <w:pPr>
        <w:pStyle w:val="Equation"/>
        <w:jc w:val="center"/>
      </w:pPr>
      <w:r>
        <w:rPr>
          <w:rFonts w:ascii="Cambria Math" w:hAnsi="Cambria Math"/>
          <w:sz w:val="21"/>
        </w:rPr>
        <w:t>s_average(T) = [Σ s_i Δt_i] / [Σ Δt_i]</w:t>
      </w:r>
    </w:p>
    <w:p>
      <w:r>
        <w:t>This can be a useful approximation, but it may be the wrong type of spread for the system curve builder. The contractual spreads are forward funding spreads that apply during specified future periods, while the system Curve spread is attached to spot-starting SOFR curve instruments / par swap quotes.</w:t>
      </w:r>
    </w:p>
    <w:p>
      <w:pPr>
        <w:pStyle w:val="Equation"/>
        <w:jc w:val="center"/>
      </w:pPr>
      <w:r>
        <w:rPr>
          <w:rFonts w:ascii="Cambria Math" w:hAnsi="Cambria Math"/>
          <w:sz w:val="21"/>
        </w:rPr>
        <w:t>Forward funding spread  ≠  Spot par swap quote spread</w:t>
      </w:r>
    </w:p>
    <w:p>
      <w:r>
        <w:t>A cumulative average behaves more like a zero-rate or discount-factor spread. The system, however, adds Curve spread to spot-starting market quotes and then bootstraps discount factors. Therefore, entering the arithmetic average does not guarantee that the bootstrapped funding curve will imply 1.71% from Mar-2027 to Mar-2032 and 1.51% from Mar-2032 to Mar-2052.</w:t>
      </w:r>
    </w:p>
    <w:p>
      <w:pPr>
        <w:pStyle w:val="Heading1"/>
      </w:pPr>
      <w:r>
        <w:t>3. Why Bucket Timing Is Probably Not the Main Problem</w:t>
      </w:r>
    </w:p>
    <w:p>
      <w:r>
        <w:t>The transition buckets were already changed from the first simplified approximation to a closer date-based approximation: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F5597"/>
          </w:tcPr>
          <w:p>
            <w:pPr>
              <w:spacing w:after="0"/>
            </w:pPr>
            <w:r/>
            <w:r>
              <w:rPr>
                <w:rFonts w:ascii="Aptos" w:hAnsi="Aptos"/>
                <w:b/>
                <w:color w:val="FFFFFF"/>
                <w:sz w:val="18"/>
              </w:rPr>
              <w:t>Transition</w:t>
            </w:r>
          </w:p>
        </w:tc>
        <w:tc>
          <w:tcPr>
            <w:tcW w:type="dxa" w:w="3389"/>
            <w:vAlign w:val="center"/>
            <w:shd w:fill="2F5597"/>
          </w:tcPr>
          <w:p>
            <w:pPr>
              <w:spacing w:after="0"/>
            </w:pPr>
            <w:r/>
            <w:r>
              <w:rPr>
                <w:rFonts w:ascii="Aptos" w:hAnsi="Aptos"/>
                <w:b/>
                <w:color w:val="FFFFFF"/>
                <w:sz w:val="18"/>
              </w:rPr>
              <w:t>Original approximation</w:t>
            </w:r>
          </w:p>
        </w:tc>
        <w:tc>
          <w:tcPr>
            <w:tcW w:type="dxa" w:w="3389"/>
            <w:vAlign w:val="center"/>
            <w:shd w:fill="2F5597"/>
          </w:tcPr>
          <w:p>
            <w:pPr>
              <w:spacing w:after="0"/>
            </w:pPr>
            <w:r/>
            <w:r>
              <w:rPr>
                <w:rFonts w:ascii="Aptos" w:hAnsi="Aptos"/>
                <w:b/>
                <w:color w:val="FFFFFF"/>
                <w:sz w:val="18"/>
              </w:rPr>
              <w:t>Revised approximation</w:t>
            </w:r>
          </w:p>
        </w:tc>
      </w:tr>
      <w:tr>
        <w:tc>
          <w:tcPr>
            <w:tcW w:type="dxa" w:w="3389"/>
            <w:vAlign w:val="center"/>
            <w:shd w:fill="F7F9FC"/>
          </w:tcPr>
          <w:p>
            <w:pPr>
              <w:spacing w:after="0"/>
            </w:pPr>
            <w:r/>
            <w:r>
              <w:rPr>
                <w:rFonts w:ascii="Aptos" w:hAnsi="Aptos"/>
                <w:b w:val="0"/>
                <w:sz w:val="18"/>
              </w:rPr>
              <w:t>121 -&gt; 171 bps</w:t>
            </w:r>
          </w:p>
        </w:tc>
        <w:tc>
          <w:tcPr>
            <w:tcW w:type="dxa" w:w="3389"/>
            <w:vAlign w:val="center"/>
            <w:shd w:fill="F7F9FC"/>
          </w:tcPr>
          <w:p>
            <w:pPr>
              <w:spacing w:after="0"/>
            </w:pPr>
            <w:r/>
            <w:r>
              <w:rPr>
                <w:rFonts w:ascii="Aptos" w:hAnsi="Aptos"/>
                <w:b w:val="0"/>
                <w:sz w:val="18"/>
              </w:rPr>
              <w:t>171 starts at 7M</w:t>
            </w:r>
          </w:p>
        </w:tc>
        <w:tc>
          <w:tcPr>
            <w:tcW w:type="dxa" w:w="3389"/>
            <w:vAlign w:val="center"/>
            <w:shd w:fill="F7F9FC"/>
          </w:tcPr>
          <w:p>
            <w:pPr>
              <w:spacing w:after="0"/>
            </w:pPr>
            <w:r/>
            <w:r>
              <w:rPr>
                <w:rFonts w:ascii="Aptos" w:hAnsi="Aptos"/>
                <w:b w:val="0"/>
                <w:sz w:val="18"/>
              </w:rPr>
              <w:t>171 starts at 6M</w:t>
            </w:r>
          </w:p>
        </w:tc>
      </w:tr>
      <w:tr>
        <w:tc>
          <w:tcPr>
            <w:tcW w:type="dxa" w:w="3389"/>
            <w:vAlign w:val="center"/>
          </w:tcPr>
          <w:p>
            <w:pPr>
              <w:spacing w:after="0"/>
            </w:pPr>
            <w:r/>
            <w:r>
              <w:rPr>
                <w:rFonts w:ascii="Aptos" w:hAnsi="Aptos"/>
                <w:b w:val="0"/>
                <w:sz w:val="18"/>
              </w:rPr>
              <w:t>171 -&gt; 151 bps</w:t>
            </w:r>
          </w:p>
        </w:tc>
        <w:tc>
          <w:tcPr>
            <w:tcW w:type="dxa" w:w="3389"/>
            <w:vAlign w:val="center"/>
          </w:tcPr>
          <w:p>
            <w:pPr>
              <w:spacing w:after="0"/>
            </w:pPr>
            <w:r/>
            <w:r>
              <w:rPr>
                <w:rFonts w:ascii="Aptos" w:hAnsi="Aptos"/>
                <w:b w:val="0"/>
                <w:sz w:val="18"/>
              </w:rPr>
              <w:t>151 starts at 7Y</w:t>
            </w:r>
          </w:p>
        </w:tc>
        <w:tc>
          <w:tcPr>
            <w:tcW w:type="dxa" w:w="3389"/>
            <w:vAlign w:val="center"/>
          </w:tcPr>
          <w:p>
            <w:pPr>
              <w:spacing w:after="0"/>
            </w:pPr>
            <w:r/>
            <w:r>
              <w:rPr>
                <w:rFonts w:ascii="Aptos" w:hAnsi="Aptos"/>
                <w:b w:val="0"/>
                <w:sz w:val="18"/>
              </w:rPr>
              <w:t>151 starts at 6Y</w:t>
            </w:r>
          </w:p>
        </w:tc>
      </w:tr>
    </w:tbl>
    <w:p>
      <w:pPr>
        <w:spacing w:after="20"/>
      </w:pPr>
    </w:p>
    <w:p>
      <w:r>
        <w:t>This produced little change in MTM. That is evidence that the main issue is more likely the conversion from the forward-spread schedule into the spot-starting par-curve spread required by the curve builder, rather than simply whether a boundary is placed at 6M versus 7M or 6Y versus 7Y.</w:t>
      </w:r>
    </w:p>
    <w:p>
      <w:pPr>
        <w:pStyle w:val="Heading1"/>
      </w:pPr>
      <w:r>
        <w:t>4. Important Observation from the 2022 Curve</w:t>
      </w:r>
    </w:p>
    <w:p>
      <w:r>
        <w:t>The original 2022 curve could be reproduced by simple averaging over part of the curve. For example:</w:t>
      </w:r>
    </w:p>
    <w:p>
      <w:pPr>
        <w:pStyle w:val="Equation"/>
        <w:jc w:val="center"/>
      </w:pPr>
      <w:r>
        <w:rPr>
          <w:rFonts w:ascii="Cambria Math" w:hAnsi="Cambria Math"/>
          <w:sz w:val="21"/>
        </w:rPr>
        <w:t>[5 × 1.21% + 1 × 1.71%] / 6 = 1.2933%</w:t>
      </w:r>
    </w:p>
    <w:p>
      <w:pPr>
        <w:pStyle w:val="Equation"/>
        <w:jc w:val="center"/>
      </w:pPr>
      <w:r>
        <w:rPr>
          <w:rFonts w:ascii="Cambria Math" w:hAnsi="Cambria Math"/>
          <w:sz w:val="21"/>
        </w:rPr>
        <w:t>[5 × 1.21% + 5 × 1.71%] / 10 = 1.4600%</w:t>
      </w:r>
    </w:p>
    <w:p>
      <w:r>
        <w:t>This explains why the 6Y-10Y section appeared consistent with the simple averaging logic. However, the long end cannot be reproduced using only the three contractual spreads and the same arithmetic average. For example, the original system showed about 1.5141% at 20Y, whereas a simple 5Y/5Y/10Y average of 1.21%/1.71%/1.51% gives about 1.4850%.</w:t>
      </w:r>
    </w:p>
    <w:p>
      <w:r>
        <w:t>Conclusion: the fact that arithmetic averaging happens to match part of the historical curve does not prove that Curve spread is a cumulative zero spread. A par-swap quote adjustment can differ from a simple time-weighted average.</w:t>
      </w:r>
    </w:p>
    <w:p>
      <w:pPr>
        <w:pStyle w:val="Heading1"/>
      </w:pPr>
      <w:r>
        <w:t>5. Required Methodology - High-Level Flow</w:t>
      </w:r>
    </w:p>
    <w:p>
      <w:pPr>
        <w:jc w:val="center"/>
      </w:pPr>
      <w:r>
        <w:rPr>
          <w:b/>
          <w:color w:val="17365D"/>
          <w:sz w:val="21"/>
        </w:rPr>
        <w:t>SOFR market curve  →  SOFR discount factors  →  Apply forward funding spreads  →  Target funding discount factors  →  Target spot par quotes  →  Curve spread</w:t>
      </w:r>
    </w:p>
    <w:p>
      <w:r>
        <w:t>Do not go directly from 121/171/151 bps to an arithmetic-average Curve spread. Build the funding economics in discount-factor space first, then convert the resulting target curve back into the spot-starting quote spread required by the system.</w:t>
      </w:r>
    </w:p>
    <w:p>
      <w:pPr>
        <w:pStyle w:val="Heading1"/>
      </w:pPr>
      <w:r>
        <w:t>6. Step A - Build / Obtain the Base SOFR Curve</w:t>
      </w:r>
    </w:p>
    <w:p>
      <w:r>
        <w:t>Use the normal USD SOFR market curve dated 30 Sep 2026, with the same instrument generator used by the system (for example, CR USD SOFR A 1Y HK where applicable). Reproduce or obtain the unadjusted SOFR discount factors:</w:t>
      </w:r>
    </w:p>
    <w:p>
      <w:pPr>
        <w:pStyle w:val="Equation"/>
        <w:jc w:val="center"/>
      </w:pPr>
      <w:r>
        <w:rPr>
          <w:rFonts w:ascii="Cambria Math" w:hAnsi="Cambria Math"/>
          <w:sz w:val="21"/>
        </w:rPr>
        <w:t>DF_SOFR(t)</w:t>
      </w:r>
    </w:p>
    <w:p>
      <w:r>
        <w:t>Required conventions to match the system:</w:t>
      </w:r>
    </w:p>
    <w:p>
      <w:pPr>
        <w:pStyle w:val="ListBullet"/>
        <w:spacing w:after="40"/>
      </w:pPr>
      <w:r>
        <w:t>Spot / start date</w:t>
      </w:r>
    </w:p>
    <w:p>
      <w:pPr>
        <w:pStyle w:val="ListBullet"/>
        <w:spacing w:after="40"/>
      </w:pPr>
      <w:r>
        <w:t>Business-day convention</w:t>
      </w:r>
    </w:p>
    <w:p>
      <w:pPr>
        <w:pStyle w:val="ListBullet"/>
        <w:spacing w:after="40"/>
      </w:pPr>
      <w:r>
        <w:t>Day-count convention</w:t>
      </w:r>
    </w:p>
    <w:p>
      <w:pPr>
        <w:pStyle w:val="ListBullet"/>
        <w:spacing w:after="40"/>
      </w:pPr>
      <w:r>
        <w:t>Payment frequency</w:t>
      </w:r>
    </w:p>
    <w:p>
      <w:pPr>
        <w:pStyle w:val="ListBullet"/>
        <w:spacing w:after="40"/>
      </w:pPr>
      <w:r>
        <w:t>Compounding convention</w:t>
      </w:r>
    </w:p>
    <w:p>
      <w:pPr>
        <w:pStyle w:val="ListBullet"/>
        <w:spacing w:after="40"/>
      </w:pPr>
      <w:r>
        <w:t>Interpolation method</w:t>
      </w:r>
    </w:p>
    <w:p>
      <w:pPr>
        <w:pStyle w:val="ListBullet"/>
        <w:spacing w:after="40"/>
      </w:pPr>
      <w:r>
        <w:t>Curve instrument generator and quote type</w:t>
      </w:r>
    </w:p>
    <w:p>
      <w:r>
        <w:t>Do not use the funding curve discount factors as the base. If a convention cannot be identified, state that it is missing. Do not infer it from reported funding MTM.</w:t>
      </w:r>
    </w:p>
    <w:p>
      <w:pPr>
        <w:pStyle w:val="Heading1"/>
      </w:pPr>
      <w:r>
        <w:t>7. Step B - Apply the Three Forward Funding Spreads</w:t>
      </w:r>
    </w:p>
    <w:p>
      <w:r>
        <w:t>Define the contractual funding spread as a piecewise function of time:</w:t>
      </w:r>
    </w:p>
    <w:p>
      <w:pPr>
        <w:pStyle w:val="Equation"/>
        <w:jc w:val="center"/>
      </w:pPr>
      <w:r>
        <w:rPr>
          <w:rFonts w:ascii="Cambria Math" w:hAnsi="Cambria Math"/>
          <w:sz w:val="21"/>
        </w:rPr>
        <w:t>s(t) = 1.21% before 18 Mar 2027; 1.71% from 18 Mar 2027 to 18 Mar 2032; 1.51% from 18 Mar 2032 onward</w:t>
      </w:r>
    </w:p>
    <w:p>
      <w:r>
        <w:t>For a transparent continuous-compounding representation, construct target funding discount factors as:</w:t>
      </w:r>
    </w:p>
    <w:p>
      <w:pPr>
        <w:pStyle w:val="Equation"/>
        <w:jc w:val="center"/>
      </w:pPr>
      <w:r>
        <w:rPr>
          <w:rFonts w:ascii="Cambria Math" w:hAnsi="Cambria Math"/>
          <w:sz w:val="21"/>
        </w:rPr>
        <w:t>DF_F(t) = DF_SOFR(t) × exp[-∫₀ᵗ s(u) du]</w:t>
      </w:r>
    </w:p>
    <w:p>
      <w:r>
        <w:t>Therefore:</w:t>
      </w:r>
    </w:p>
    <w:p>
      <w:pPr>
        <w:pStyle w:val="Equation"/>
        <w:jc w:val="center"/>
      </w:pPr>
      <w:r>
        <w:rPr>
          <w:rFonts w:ascii="Cambria Math" w:hAnsi="Cambria Math"/>
          <w:sz w:val="21"/>
        </w:rPr>
        <w:t>Before Mar-2027:   DF_F(t) = DF_S(t) × exp[-0.0121 × t]</w:t>
      </w:r>
    </w:p>
    <w:p>
      <w:pPr>
        <w:pStyle w:val="Equation"/>
        <w:jc w:val="center"/>
      </w:pPr>
      <w:r>
        <w:rPr>
          <w:rFonts w:ascii="Cambria Math" w:hAnsi="Cambria Math"/>
          <w:sz w:val="21"/>
        </w:rPr>
        <w:t>Mar-2027 to Mar-2032:   DF_F(t) = DF_S(t) × exp[-(0.0121 T1 + 0.0171 (t-T1))]</w:t>
      </w:r>
    </w:p>
    <w:p>
      <w:pPr>
        <w:pStyle w:val="Equation"/>
        <w:jc w:val="center"/>
      </w:pPr>
      <w:r>
        <w:rPr>
          <w:rFonts w:ascii="Cambria Math" w:hAnsi="Cambria Math"/>
          <w:sz w:val="21"/>
        </w:rPr>
        <w:t>After Mar-2032:   DF_F(t) = DF_S(t) × exp[-(0.0121 T1 + 0.0171 (T2-T1) + 0.0151 (t-T2))]</w:t>
      </w:r>
    </w:p>
    <w:p>
      <w:r>
        <w:t>where T1 is the year fraction to 18 Mar 2027 and T2 is the year fraction to 18 Mar 2032. Use the system day-count convention where known. If production uses another spread-compounding convention, also calculate the target funding DFs under that convention. Do not choose a convention simply because it matches reported MTM better.</w:t>
      </w:r>
    </w:p>
    <w:p>
      <w:pPr>
        <w:pStyle w:val="Heading1"/>
      </w:pPr>
      <w:r>
        <w:t>8. Step C - Verify the Implied Forward Funding Spreads</w:t>
      </w:r>
    </w:p>
    <w:p>
      <w:r>
        <w:t>Before converting target discount factors into system curve quotes, verify that the target funding DFs actually contain the intended contractual forward spreads.</w:t>
      </w:r>
    </w:p>
    <w:p>
      <w:pPr>
        <w:pStyle w:val="Equation"/>
        <w:jc w:val="center"/>
      </w:pPr>
      <w:r>
        <w:rPr>
          <w:rFonts w:ascii="Cambria Math" w:hAnsi="Cambria Math"/>
          <w:sz w:val="21"/>
        </w:rPr>
        <w:t>s_A,B = -[1 / τ_A,B] × ln{ [DF_F(B)/DF_F(A)] / [DF_S(B)/DF_S(A)] }</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pPr>
              <w:spacing w:after="0"/>
            </w:pPr>
            <w:r/>
            <w:r>
              <w:rPr>
                <w:rFonts w:ascii="Aptos" w:hAnsi="Aptos"/>
                <w:b/>
                <w:color w:val="FFFFFF"/>
                <w:sz w:val="18"/>
              </w:rPr>
              <w:t>Period</w:t>
            </w:r>
          </w:p>
        </w:tc>
        <w:tc>
          <w:tcPr>
            <w:tcW w:type="dxa" w:w="5083"/>
            <w:vAlign w:val="center"/>
            <w:shd w:fill="2F5597"/>
          </w:tcPr>
          <w:p>
            <w:pPr>
              <w:spacing w:after="0"/>
            </w:pPr>
            <w:r/>
            <w:r>
              <w:rPr>
                <w:rFonts w:ascii="Aptos" w:hAnsi="Aptos"/>
                <w:b/>
                <w:color w:val="FFFFFF"/>
                <w:sz w:val="18"/>
              </w:rPr>
              <w:t>Expected implied spread</w:t>
            </w:r>
          </w:p>
        </w:tc>
      </w:tr>
      <w:tr>
        <w:tc>
          <w:tcPr>
            <w:tcW w:type="dxa" w:w="5083"/>
            <w:vAlign w:val="center"/>
            <w:shd w:fill="F7F9FC"/>
          </w:tcPr>
          <w:p>
            <w:pPr>
              <w:spacing w:after="0"/>
            </w:pPr>
            <w:r/>
            <w:r>
              <w:rPr>
                <w:rFonts w:ascii="Aptos" w:hAnsi="Aptos"/>
                <w:b w:val="0"/>
                <w:sz w:val="18"/>
              </w:rPr>
              <w:t>Start -&gt; 18 Mar 2027</w:t>
            </w:r>
          </w:p>
        </w:tc>
        <w:tc>
          <w:tcPr>
            <w:tcW w:type="dxa" w:w="5083"/>
            <w:vAlign w:val="center"/>
            <w:shd w:fill="F7F9FC"/>
          </w:tcPr>
          <w:p>
            <w:pPr>
              <w:spacing w:after="0"/>
            </w:pPr>
            <w:r/>
            <w:r>
              <w:rPr>
                <w:rFonts w:ascii="Aptos" w:hAnsi="Aptos"/>
                <w:b w:val="0"/>
                <w:sz w:val="18"/>
              </w:rPr>
              <w:t>1.21%</w:t>
            </w:r>
          </w:p>
        </w:tc>
      </w:tr>
      <w:tr>
        <w:tc>
          <w:tcPr>
            <w:tcW w:type="dxa" w:w="5083"/>
            <w:vAlign w:val="center"/>
          </w:tcPr>
          <w:p>
            <w:pPr>
              <w:spacing w:after="0"/>
            </w:pPr>
            <w:r/>
            <w:r>
              <w:rPr>
                <w:rFonts w:ascii="Aptos" w:hAnsi="Aptos"/>
                <w:b w:val="0"/>
                <w:sz w:val="18"/>
              </w:rPr>
              <w:t>18 Mar 2027 -&gt; 18 Mar 2032</w:t>
            </w:r>
          </w:p>
        </w:tc>
        <w:tc>
          <w:tcPr>
            <w:tcW w:type="dxa" w:w="5083"/>
            <w:vAlign w:val="center"/>
          </w:tcPr>
          <w:p>
            <w:pPr>
              <w:spacing w:after="0"/>
            </w:pPr>
            <w:r/>
            <w:r>
              <w:rPr>
                <w:rFonts w:ascii="Aptos" w:hAnsi="Aptos"/>
                <w:b w:val="0"/>
                <w:sz w:val="18"/>
              </w:rPr>
              <w:t>1.71%</w:t>
            </w:r>
          </w:p>
        </w:tc>
      </w:tr>
      <w:tr>
        <w:tc>
          <w:tcPr>
            <w:tcW w:type="dxa" w:w="5083"/>
            <w:vAlign w:val="center"/>
            <w:shd w:fill="F7F9FC"/>
          </w:tcPr>
          <w:p>
            <w:pPr>
              <w:spacing w:after="0"/>
            </w:pPr>
            <w:r/>
            <w:r>
              <w:rPr>
                <w:rFonts w:ascii="Aptos" w:hAnsi="Aptos"/>
                <w:b w:val="0"/>
                <w:sz w:val="18"/>
              </w:rPr>
              <w:t>18 Mar 2032 -&gt; 18 Mar 2052</w:t>
            </w:r>
          </w:p>
        </w:tc>
        <w:tc>
          <w:tcPr>
            <w:tcW w:type="dxa" w:w="5083"/>
            <w:vAlign w:val="center"/>
            <w:shd w:fill="F7F9FC"/>
          </w:tcPr>
          <w:p>
            <w:pPr>
              <w:spacing w:after="0"/>
            </w:pPr>
            <w:r/>
            <w:r>
              <w:rPr>
                <w:rFonts w:ascii="Aptos" w:hAnsi="Aptos"/>
                <w:b w:val="0"/>
                <w:sz w:val="18"/>
              </w:rPr>
              <w:t>1.51%</w:t>
            </w:r>
          </w:p>
        </w:tc>
      </w:tr>
    </w:tbl>
    <w:p>
      <w:pPr>
        <w:spacing w:after="20"/>
      </w:pPr>
    </w:p>
    <w:p>
      <w:r>
        <w:t>This is a hard control. If the intended forward spreads are not reproduced, stop and correct the target funding-DF construction before deriving Curve spread values.</w:t>
      </w:r>
    </w:p>
    <w:p>
      <w:pPr>
        <w:pStyle w:val="Heading1"/>
      </w:pPr>
      <w:r>
        <w:t>9. Step D - Convert Target Funding DFs to Spot Par Quotes</w:t>
      </w:r>
    </w:p>
    <w:p>
      <w:r>
        <w:t>This is the critical correction to the previous methodology. For each system curve pillar, price the actual generator instrument using the target funding discount curve.</w:t>
      </w:r>
    </w:p>
    <w:p>
      <w:r>
        <w:t>For a standard spot-starting fixed-vs-floating swap under a single-curve approximation:</w:t>
      </w:r>
    </w:p>
    <w:p>
      <w:pPr>
        <w:pStyle w:val="Equation"/>
        <w:jc w:val="center"/>
      </w:pPr>
      <w:r>
        <w:rPr>
          <w:rFonts w:ascii="Cambria Math" w:hAnsi="Cambria Math"/>
          <w:sz w:val="21"/>
        </w:rPr>
        <w:t>K_F(T) = [DF_F(S) - DF_F(T)] / [Σ α_i DF_F(t_i)]</w:t>
      </w:r>
    </w:p>
    <w:p>
      <w:r>
        <w:t>where S is the swap start date, T is maturity, t_i are the fixed-leg payment dates, and α_i are the fixed-leg accrual fractions.</w:t>
      </w:r>
    </w:p>
    <w:p>
      <w:r>
        <w:t>Important: do not automatically use 1 - DF(T) if the instrument starts after the valuation date. Use DF(S) - DF(T). For O/N, deposits or other short instruments, use the correct instrument-specific quote formula rather than forcing the swap formula.</w:t>
      </w:r>
    </w:p>
    <w:p>
      <w:pPr>
        <w:pStyle w:val="Heading1"/>
      </w:pPr>
      <w:r>
        <w:t>10. Step E - Calculate the Curve Spread the System Actually Needs</w:t>
      </w:r>
    </w:p>
    <w:p>
      <w:pPr>
        <w:pStyle w:val="Equation"/>
        <w:jc w:val="center"/>
      </w:pPr>
      <w:r>
        <w:rPr>
          <w:rFonts w:ascii="Cambria Math" w:hAnsi="Cambria Math"/>
          <w:sz w:val="21"/>
        </w:rPr>
        <w:t>CurveSpread(T) = K_F(T) - K_SOFR(T)</w:t>
      </w:r>
    </w:p>
    <w:p>
      <w:r>
        <w:t>Here, K_F(T) is the spot-starting par quote implied by the target funding curve and K_SOFR(T) is the normal SOFR market quote for the same generator and maturity. The resulting CurveSpread(T) is the number to compare with / enter into the system Curve spread column.</w:t>
      </w:r>
    </w:p>
    <w:p>
      <w:r>
        <w:t>Do not enter the simple average of 121/171/151 bps unless this par-quote calculation independently produces the same number.</w:t>
      </w:r>
    </w:p>
    <w:p>
      <w:pPr>
        <w:pStyle w:val="Heading1"/>
      </w:pPr>
      <w:r>
        <w:t>11. Step F - Rebootstrap as a Mathematical Control</w:t>
      </w:r>
    </w:p>
    <w:p>
      <w:pPr>
        <w:pStyle w:val="ListNumber"/>
        <w:spacing w:after="40"/>
      </w:pPr>
      <w:r>
        <w:t>Add each calculated Curve spread to its corresponding base SOFR market quote.</w:t>
      </w:r>
    </w:p>
    <w:p>
      <w:pPr>
        <w:pStyle w:val="ListNumber"/>
        <w:spacing w:after="40"/>
      </w:pPr>
      <w:r>
        <w:t>Bootstrap the funding curve again using exactly the same instruments and conventions as the system.</w:t>
      </w:r>
    </w:p>
    <w:p>
      <w:pPr>
        <w:pStyle w:val="ListNumber"/>
        <w:spacing w:after="40"/>
      </w:pPr>
      <w:r>
        <w:t>Compare the resulting re-bootstrapped funding DFs with the target funding DFs from Step B.</w:t>
      </w:r>
    </w:p>
    <w:p>
      <w:r>
        <w:t>The two sets of funding discount factors should agree closely. This is the primary mathematical validation. Do not use the trade MTM as the calibration criterion.</w:t>
      </w:r>
    </w:p>
    <w:p>
      <w:pPr>
        <w:pStyle w:val="Heading1"/>
      </w:pPr>
      <w:r>
        <w:t>12. Accreting Principal - Correct Treatment</w:t>
      </w:r>
    </w:p>
    <w:p>
      <w:r>
        <w:t>The long funding deal has an accreting principal profile. Based on the supplied cash-flow information, the principal is approximately USD 617.261m initially and grows through future drawdowns to approximately USD 1.312407bn by Mar-2052.</w:t>
      </w:r>
    </w:p>
    <w:p>
      <w:pPr>
        <w:pStyle w:val="Equation"/>
        <w:jc w:val="center"/>
      </w:pPr>
      <w:r>
        <w:rPr>
          <w:rFonts w:ascii="Cambria Math" w:hAnsi="Cambria Math"/>
          <w:sz w:val="21"/>
        </w:rPr>
        <w:t>617.261m  →  future drawdowns / accretion  →  approximately 1.312407bn</w:t>
      </w:r>
    </w:p>
    <w:p>
      <w:r>
        <w:t>Do not modify the funding curve by notional-weighting the 1.51% spread. The curve represents the funding rate through time and should be independent of the trade notional. The accreting principal affects the size of future cash flows, not the funding spread itself.</w:t>
      </w:r>
    </w:p>
    <w:p>
      <w:pPr>
        <w:pStyle w:val="Equation"/>
        <w:jc w:val="center"/>
      </w:pPr>
      <w:r>
        <w:rPr>
          <w:rFonts w:ascii="Cambria Math" w:hAnsi="Cambria Math"/>
          <w:sz w:val="21"/>
        </w:rPr>
        <w:t>Curve construction: independent of notional</w:t>
      </w:r>
    </w:p>
    <w:p>
      <w:pPr>
        <w:pStyle w:val="Equation"/>
        <w:jc w:val="center"/>
      </w:pPr>
      <w:r>
        <w:rPr>
          <w:rFonts w:ascii="Cambria Math" w:hAnsi="Cambria Math"/>
          <w:sz w:val="21"/>
        </w:rPr>
        <w:t>Actual accreting cash flows × correct funding DFs → PV</w:t>
      </w:r>
    </w:p>
    <w:p>
      <w:r>
        <w:t>The improved methodology addresses the main weakness of simple calendar averaging by constructing the correct rate curve first. The accreting principal is then handled naturally when each larger future coupon and principal cash flow is discounted at the appropriate funding discount factor.</w:t>
      </w:r>
    </w:p>
    <w:p>
      <w:pPr>
        <w:pStyle w:val="Heading1"/>
      </w:pPr>
      <w:r>
        <w:t>13. Step G - Revalue the Actual Funding Cash Flows</w:t>
      </w:r>
    </w:p>
    <w:p>
      <w:r>
        <w:t>Only after the curve has been constructed independently should the trades be valued. Use the actual contractual cash flows, including:</w:t>
      </w:r>
    </w:p>
    <w:p>
      <w:pPr>
        <w:pStyle w:val="ListBullet"/>
        <w:spacing w:after="40"/>
      </w:pPr>
      <w:r>
        <w:t>Actual outstanding / accreting principal</w:t>
      </w:r>
    </w:p>
    <w:p>
      <w:pPr>
        <w:pStyle w:val="ListBullet"/>
        <w:spacing w:after="40"/>
      </w:pPr>
      <w:r>
        <w:t>Future drawdowns</w:t>
      </w:r>
    </w:p>
    <w:p>
      <w:pPr>
        <w:pStyle w:val="ListBullet"/>
        <w:spacing w:after="40"/>
      </w:pPr>
      <w:r>
        <w:t>Principal exchanges</w:t>
      </w:r>
    </w:p>
    <w:p>
      <w:pPr>
        <w:pStyle w:val="ListBullet"/>
        <w:spacing w:after="40"/>
      </w:pPr>
      <w:r>
        <w:t>Coupon payment dates</w:t>
      </w:r>
    </w:p>
    <w:p>
      <w:pPr>
        <w:pStyle w:val="ListBullet"/>
        <w:spacing w:after="40"/>
      </w:pPr>
      <w:r>
        <w:t>Compounded SOFR</w:t>
      </w:r>
    </w:p>
    <w:p>
      <w:pPr>
        <w:pStyle w:val="ListBullet"/>
        <w:spacing w:after="40"/>
      </w:pPr>
      <w:r>
        <w:t>Contractual spread</w:t>
      </w:r>
    </w:p>
    <w:p>
      <w:pPr>
        <w:pStyle w:val="ListBullet"/>
        <w:spacing w:after="40"/>
      </w:pPr>
      <w:r>
        <w:t>Day-count convention</w:t>
      </w:r>
    </w:p>
    <w:p>
      <w:pPr>
        <w:pStyle w:val="ListBullet"/>
        <w:spacing w:after="40"/>
      </w:pPr>
      <w:r>
        <w:t>Observation shift / lookback if applicable</w:t>
      </w:r>
    </w:p>
    <w:p>
      <w:pPr>
        <w:pStyle w:val="ListBullet"/>
        <w:spacing w:after="40"/>
      </w:pPr>
      <w:r>
        <w:t>Already-fixed coupons where applicable</w:t>
      </w:r>
    </w:p>
    <w:p>
      <w:pPr>
        <w:pStyle w:val="ListBullet"/>
        <w:spacing w:after="40"/>
      </w:pPr>
      <w:r>
        <w:t>Accrued interest</w:t>
      </w:r>
    </w:p>
    <w:p>
      <w:pPr>
        <w:pStyle w:val="ListBullet"/>
        <w:spacing w:after="40"/>
      </w:pPr>
      <w:r>
        <w:t>Payment lag and business-day adjustments</w:t>
      </w:r>
    </w:p>
    <w:p>
      <w:r>
        <w:t>Use the appropriate SOFR projection curve for floating coupons and the newly constructed funding curve for discounting, according to the actual system methodology.</w:t>
      </w:r>
    </w:p>
    <w:p>
      <w:pPr>
        <w:pStyle w:val="Heading1"/>
      </w:pPr>
      <w:r>
        <w:t>14. Strict No-Reverse-Engineering Rule</w:t>
      </w:r>
    </w:p>
    <w:p>
      <w:r>
        <w:t>Do not use any reported system valuation result to determine curve inputs. In particular, do not use:</w:t>
      </w:r>
    </w:p>
    <w:p>
      <w:pPr>
        <w:pStyle w:val="ListBullet"/>
        <w:spacing w:after="40"/>
      </w:pPr>
      <w:r>
        <w:t>Reported system MTM</w:t>
      </w:r>
    </w:p>
    <w:p>
      <w:pPr>
        <w:pStyle w:val="ListBullet"/>
        <w:spacing w:after="40"/>
      </w:pPr>
      <w:r>
        <w:t>Reported system PV</w:t>
      </w:r>
    </w:p>
    <w:p>
      <w:pPr>
        <w:pStyle w:val="ListBullet"/>
        <w:spacing w:after="40"/>
      </w:pPr>
      <w:r>
        <w:t>Trial-and-error spread changes designed to force PV to zero</w:t>
      </w:r>
    </w:p>
    <w:p>
      <w:pPr>
        <w:pStyle w:val="ListBullet"/>
        <w:spacing w:after="40"/>
      </w:pPr>
      <w:r>
        <w:t>Solving backwards from the approximately USD 1.48m / USD 6.13m differences</w:t>
      </w:r>
    </w:p>
    <w:p>
      <w:pPr>
        <w:pStyle w:val="ListBullet"/>
        <w:spacing w:after="40"/>
      </w:pPr>
      <w:r>
        <w:t>Optimization against system PV</w:t>
      </w:r>
    </w:p>
    <w:p>
      <w:r>
        <w:t>System MTM may be used only after all curve and trade calculations are finished, as an independent validation result.</w:t>
      </w:r>
    </w:p>
    <w:p>
      <w:r>
        <w:t>Permitted inputs are limited to:</w:t>
      </w:r>
    </w:p>
    <w:p>
      <w:pPr>
        <w:pStyle w:val="ListBullet"/>
        <w:spacing w:after="40"/>
      </w:pPr>
      <w:r>
        <w:t>Market SOFR data</w:t>
      </w:r>
    </w:p>
    <w:p>
      <w:pPr>
        <w:pStyle w:val="ListBullet"/>
        <w:spacing w:after="40"/>
      </w:pPr>
      <w:r>
        <w:t>Contractual dates</w:t>
      </w:r>
    </w:p>
    <w:p>
      <w:pPr>
        <w:pStyle w:val="ListBullet"/>
        <w:spacing w:after="40"/>
      </w:pPr>
      <w:r>
        <w:t>Contractual funding spreads 1.21%, 1.71%, 1.51%</w:t>
      </w:r>
    </w:p>
    <w:p>
      <w:pPr>
        <w:pStyle w:val="ListBullet"/>
        <w:spacing w:after="40"/>
      </w:pPr>
      <w:r>
        <w:t>Actual curve conventions</w:t>
      </w:r>
    </w:p>
    <w:p>
      <w:pPr>
        <w:pStyle w:val="ListBullet"/>
        <w:spacing w:after="40"/>
      </w:pPr>
      <w:r>
        <w:t>Actual trade cash-flow terms</w:t>
      </w:r>
    </w:p>
    <w:p>
      <w:pPr>
        <w:pStyle w:val="Heading1"/>
      </w:pPr>
      <w:r>
        <w:t>15. Required Output from System AI</w:t>
      </w:r>
    </w:p>
    <w:p>
      <w:r>
        <w:t>Produce one row for every system curve pillar with at least the following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2F5597"/>
          </w:tcPr>
          <w:p>
            <w:pPr>
              <w:spacing w:after="0"/>
            </w:pPr>
            <w:r/>
            <w:r>
              <w:rPr>
                <w:rFonts w:ascii="Aptos" w:hAnsi="Aptos"/>
                <w:b/>
                <w:color w:val="FFFFFF"/>
                <w:sz w:val="18"/>
              </w:rPr>
              <w:t>Field</w:t>
            </w:r>
          </w:p>
        </w:tc>
        <w:tc>
          <w:tcPr>
            <w:tcW w:type="dxa" w:w="5083"/>
            <w:vAlign w:val="center"/>
            <w:shd w:fill="2F5597"/>
          </w:tcPr>
          <w:p>
            <w:pPr>
              <w:spacing w:after="0"/>
            </w:pPr>
            <w:r/>
            <w:r>
              <w:rPr>
                <w:rFonts w:ascii="Aptos" w:hAnsi="Aptos"/>
                <w:b/>
                <w:color w:val="FFFFFF"/>
                <w:sz w:val="18"/>
              </w:rPr>
              <w:t>Purpose</w:t>
            </w:r>
          </w:p>
        </w:tc>
      </w:tr>
      <w:tr>
        <w:tc>
          <w:tcPr>
            <w:tcW w:type="dxa" w:w="5083"/>
            <w:vAlign w:val="center"/>
            <w:shd w:fill="F7F9FC"/>
          </w:tcPr>
          <w:p>
            <w:pPr>
              <w:spacing w:after="0"/>
            </w:pPr>
            <w:r/>
            <w:r>
              <w:rPr>
                <w:rFonts w:ascii="Aptos" w:hAnsi="Aptos"/>
                <w:b w:val="0"/>
                <w:sz w:val="18"/>
              </w:rPr>
              <w:t>Tenor</w:t>
            </w:r>
          </w:p>
        </w:tc>
        <w:tc>
          <w:tcPr>
            <w:tcW w:type="dxa" w:w="5083"/>
            <w:vAlign w:val="center"/>
            <w:shd w:fill="F7F9FC"/>
          </w:tcPr>
          <w:p>
            <w:pPr>
              <w:spacing w:after="0"/>
            </w:pPr>
            <w:r/>
            <w:r>
              <w:rPr>
                <w:rFonts w:ascii="Aptos" w:hAnsi="Aptos"/>
                <w:b w:val="0"/>
                <w:sz w:val="18"/>
              </w:rPr>
              <w:t>System curve pillar</w:t>
            </w:r>
          </w:p>
        </w:tc>
      </w:tr>
      <w:tr>
        <w:tc>
          <w:tcPr>
            <w:tcW w:type="dxa" w:w="5083"/>
            <w:vAlign w:val="center"/>
          </w:tcPr>
          <w:p>
            <w:pPr>
              <w:spacing w:after="0"/>
            </w:pPr>
            <w:r/>
            <w:r>
              <w:rPr>
                <w:rFonts w:ascii="Aptos" w:hAnsi="Aptos"/>
                <w:b w:val="0"/>
                <w:sz w:val="18"/>
              </w:rPr>
              <w:t>Start date</w:t>
            </w:r>
          </w:p>
        </w:tc>
        <w:tc>
          <w:tcPr>
            <w:tcW w:type="dxa" w:w="5083"/>
            <w:vAlign w:val="center"/>
          </w:tcPr>
          <w:p>
            <w:pPr>
              <w:spacing w:after="0"/>
            </w:pPr>
            <w:r/>
            <w:r>
              <w:rPr>
                <w:rFonts w:ascii="Aptos" w:hAnsi="Aptos"/>
                <w:b w:val="0"/>
                <w:sz w:val="18"/>
              </w:rPr>
              <w:t>Actual instrument start</w:t>
            </w:r>
          </w:p>
        </w:tc>
      </w:tr>
      <w:tr>
        <w:tc>
          <w:tcPr>
            <w:tcW w:type="dxa" w:w="5083"/>
            <w:vAlign w:val="center"/>
            <w:shd w:fill="F7F9FC"/>
          </w:tcPr>
          <w:p>
            <w:pPr>
              <w:spacing w:after="0"/>
            </w:pPr>
            <w:r/>
            <w:r>
              <w:rPr>
                <w:rFonts w:ascii="Aptos" w:hAnsi="Aptos"/>
                <w:b w:val="0"/>
                <w:sz w:val="18"/>
              </w:rPr>
              <w:t>Maturity</w:t>
            </w:r>
          </w:p>
        </w:tc>
        <w:tc>
          <w:tcPr>
            <w:tcW w:type="dxa" w:w="5083"/>
            <w:vAlign w:val="center"/>
            <w:shd w:fill="F7F9FC"/>
          </w:tcPr>
          <w:p>
            <w:pPr>
              <w:spacing w:after="0"/>
            </w:pPr>
            <w:r/>
            <w:r>
              <w:rPr>
                <w:rFonts w:ascii="Aptos" w:hAnsi="Aptos"/>
                <w:b w:val="0"/>
                <w:sz w:val="18"/>
              </w:rPr>
              <w:t>Actual instrument maturity</w:t>
            </w:r>
          </w:p>
        </w:tc>
      </w:tr>
      <w:tr>
        <w:tc>
          <w:tcPr>
            <w:tcW w:type="dxa" w:w="5083"/>
            <w:vAlign w:val="center"/>
          </w:tcPr>
          <w:p>
            <w:pPr>
              <w:spacing w:after="0"/>
            </w:pPr>
            <w:r/>
            <w:r>
              <w:rPr>
                <w:rFonts w:ascii="Aptos" w:hAnsi="Aptos"/>
                <w:b w:val="0"/>
                <w:sz w:val="18"/>
              </w:rPr>
              <w:t>Base SOFR market quote</w:t>
            </w:r>
          </w:p>
        </w:tc>
        <w:tc>
          <w:tcPr>
            <w:tcW w:type="dxa" w:w="5083"/>
            <w:vAlign w:val="center"/>
          </w:tcPr>
          <w:p>
            <w:pPr>
              <w:spacing w:after="0"/>
            </w:pPr>
            <w:r/>
            <w:r>
              <w:rPr>
                <w:rFonts w:ascii="Aptos" w:hAnsi="Aptos"/>
                <w:b w:val="0"/>
                <w:sz w:val="18"/>
              </w:rPr>
              <w:t>Unadjusted quote</w:t>
            </w:r>
          </w:p>
        </w:tc>
      </w:tr>
      <w:tr>
        <w:tc>
          <w:tcPr>
            <w:tcW w:type="dxa" w:w="5083"/>
            <w:vAlign w:val="center"/>
            <w:shd w:fill="F7F9FC"/>
          </w:tcPr>
          <w:p>
            <w:pPr>
              <w:spacing w:after="0"/>
            </w:pPr>
            <w:r/>
            <w:r>
              <w:rPr>
                <w:rFonts w:ascii="Aptos" w:hAnsi="Aptos"/>
                <w:b w:val="0"/>
                <w:sz w:val="18"/>
              </w:rPr>
              <w:t>Base SOFR DF</w:t>
            </w:r>
          </w:p>
        </w:tc>
        <w:tc>
          <w:tcPr>
            <w:tcW w:type="dxa" w:w="5083"/>
            <w:vAlign w:val="center"/>
            <w:shd w:fill="F7F9FC"/>
          </w:tcPr>
          <w:p>
            <w:pPr>
              <w:spacing w:after="0"/>
            </w:pPr>
            <w:r/>
            <w:r>
              <w:rPr>
                <w:rFonts w:ascii="Aptos" w:hAnsi="Aptos"/>
                <w:b w:val="0"/>
                <w:sz w:val="18"/>
              </w:rPr>
              <w:t>Unadjusted discount factor</w:t>
            </w:r>
          </w:p>
        </w:tc>
      </w:tr>
      <w:tr>
        <w:tc>
          <w:tcPr>
            <w:tcW w:type="dxa" w:w="5083"/>
            <w:vAlign w:val="center"/>
          </w:tcPr>
          <w:p>
            <w:pPr>
              <w:spacing w:after="0"/>
            </w:pPr>
            <w:r/>
            <w:r>
              <w:rPr>
                <w:rFonts w:ascii="Aptos" w:hAnsi="Aptos"/>
                <w:b w:val="0"/>
                <w:sz w:val="18"/>
              </w:rPr>
              <w:t>Target funding DF</w:t>
            </w:r>
          </w:p>
        </w:tc>
        <w:tc>
          <w:tcPr>
            <w:tcW w:type="dxa" w:w="5083"/>
            <w:vAlign w:val="center"/>
          </w:tcPr>
          <w:p>
            <w:pPr>
              <w:spacing w:after="0"/>
            </w:pPr>
            <w:r/>
            <w:r>
              <w:rPr>
                <w:rFonts w:ascii="Aptos" w:hAnsi="Aptos"/>
                <w:b w:val="0"/>
                <w:sz w:val="18"/>
              </w:rPr>
              <w:t>DF after applying forward funding spreads</w:t>
            </w:r>
          </w:p>
        </w:tc>
      </w:tr>
      <w:tr>
        <w:tc>
          <w:tcPr>
            <w:tcW w:type="dxa" w:w="5083"/>
            <w:vAlign w:val="center"/>
            <w:shd w:fill="F7F9FC"/>
          </w:tcPr>
          <w:p>
            <w:pPr>
              <w:spacing w:after="0"/>
            </w:pPr>
            <w:r/>
            <w:r>
              <w:rPr>
                <w:rFonts w:ascii="Aptos" w:hAnsi="Aptos"/>
                <w:b w:val="0"/>
                <w:sz w:val="18"/>
              </w:rPr>
              <w:t>Target funding par quote</w:t>
            </w:r>
          </w:p>
        </w:tc>
        <w:tc>
          <w:tcPr>
            <w:tcW w:type="dxa" w:w="5083"/>
            <w:vAlign w:val="center"/>
            <w:shd w:fill="F7F9FC"/>
          </w:tcPr>
          <w:p>
            <w:pPr>
              <w:spacing w:after="0"/>
            </w:pPr>
            <w:r/>
            <w:r>
              <w:rPr>
                <w:rFonts w:ascii="Aptos" w:hAnsi="Aptos"/>
                <w:b w:val="0"/>
                <w:sz w:val="18"/>
              </w:rPr>
              <w:t>Spot par quote implied by target funding curve</w:t>
            </w:r>
          </w:p>
        </w:tc>
      </w:tr>
      <w:tr>
        <w:tc>
          <w:tcPr>
            <w:tcW w:type="dxa" w:w="5083"/>
            <w:vAlign w:val="center"/>
          </w:tcPr>
          <w:p>
            <w:pPr>
              <w:spacing w:after="0"/>
            </w:pPr>
            <w:r/>
            <w:r>
              <w:rPr>
                <w:rFonts w:ascii="Aptos" w:hAnsi="Aptos"/>
                <w:b w:val="0"/>
                <w:sz w:val="18"/>
              </w:rPr>
              <w:t>Calculated Curve spread</w:t>
            </w:r>
          </w:p>
        </w:tc>
        <w:tc>
          <w:tcPr>
            <w:tcW w:type="dxa" w:w="5083"/>
            <w:vAlign w:val="center"/>
          </w:tcPr>
          <w:p>
            <w:pPr>
              <w:spacing w:after="0"/>
            </w:pPr>
            <w:r/>
            <w:r>
              <w:rPr>
                <w:rFonts w:ascii="Aptos" w:hAnsi="Aptos"/>
                <w:b w:val="0"/>
                <w:sz w:val="18"/>
              </w:rPr>
              <w:t>Target funding quote minus base SOFR quote</w:t>
            </w:r>
          </w:p>
        </w:tc>
      </w:tr>
      <w:tr>
        <w:tc>
          <w:tcPr>
            <w:tcW w:type="dxa" w:w="5083"/>
            <w:vAlign w:val="center"/>
            <w:shd w:fill="F7F9FC"/>
          </w:tcPr>
          <w:p>
            <w:pPr>
              <w:spacing w:after="0"/>
            </w:pPr>
            <w:r/>
            <w:r>
              <w:rPr>
                <w:rFonts w:ascii="Aptos" w:hAnsi="Aptos"/>
                <w:b w:val="0"/>
                <w:sz w:val="18"/>
              </w:rPr>
              <w:t>Rebootstrapped funding DF</w:t>
            </w:r>
          </w:p>
        </w:tc>
        <w:tc>
          <w:tcPr>
            <w:tcW w:type="dxa" w:w="5083"/>
            <w:vAlign w:val="center"/>
            <w:shd w:fill="F7F9FC"/>
          </w:tcPr>
          <w:p>
            <w:pPr>
              <w:spacing w:after="0"/>
            </w:pPr>
            <w:r/>
            <w:r>
              <w:rPr>
                <w:rFonts w:ascii="Aptos" w:hAnsi="Aptos"/>
                <w:b w:val="0"/>
                <w:sz w:val="18"/>
              </w:rPr>
              <w:t>Control from rebuilding curve using calculated spreads</w:t>
            </w:r>
          </w:p>
        </w:tc>
      </w:tr>
      <w:tr>
        <w:tc>
          <w:tcPr>
            <w:tcW w:type="dxa" w:w="5083"/>
            <w:vAlign w:val="center"/>
          </w:tcPr>
          <w:p>
            <w:pPr>
              <w:spacing w:after="0"/>
            </w:pPr>
            <w:r/>
            <w:r>
              <w:rPr>
                <w:rFonts w:ascii="Aptos" w:hAnsi="Aptos"/>
                <w:b w:val="0"/>
                <w:sz w:val="18"/>
              </w:rPr>
              <w:t>DF difference</w:t>
            </w:r>
          </w:p>
        </w:tc>
        <w:tc>
          <w:tcPr>
            <w:tcW w:type="dxa" w:w="5083"/>
            <w:vAlign w:val="center"/>
          </w:tcPr>
          <w:p>
            <w:pPr>
              <w:spacing w:after="0"/>
            </w:pPr>
            <w:r/>
            <w:r>
              <w:rPr>
                <w:rFonts w:ascii="Aptos" w:hAnsi="Aptos"/>
                <w:b w:val="0"/>
                <w:sz w:val="18"/>
              </w:rPr>
              <w:t>Target DF minus rebootstrapped DF</w:t>
            </w:r>
          </w:p>
        </w:tc>
      </w:tr>
    </w:tbl>
    <w:p>
      <w:pPr>
        <w:spacing w:after="20"/>
      </w:pPr>
    </w:p>
    <w:p>
      <w:r>
        <w:t>Also produce a separate forward-spread validation table: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2F5597"/>
          </w:tcPr>
          <w:p>
            <w:pPr>
              <w:spacing w:after="0"/>
            </w:pPr>
            <w:r/>
            <w:r>
              <w:rPr>
                <w:rFonts w:ascii="Aptos" w:hAnsi="Aptos"/>
                <w:b/>
                <w:color w:val="FFFFFF"/>
                <w:sz w:val="18"/>
              </w:rPr>
              <w:t>Period</w:t>
            </w:r>
          </w:p>
        </w:tc>
        <w:tc>
          <w:tcPr>
            <w:tcW w:type="dxa" w:w="2033"/>
            <w:vAlign w:val="center"/>
            <w:shd w:fill="2F5597"/>
          </w:tcPr>
          <w:p>
            <w:pPr>
              <w:spacing w:after="0"/>
            </w:pPr>
            <w:r/>
            <w:r>
              <w:rPr>
                <w:rFonts w:ascii="Aptos" w:hAnsi="Aptos"/>
                <w:b/>
                <w:color w:val="FFFFFF"/>
                <w:sz w:val="18"/>
              </w:rPr>
              <w:t>Base SOFR DF ratio</w:t>
            </w:r>
          </w:p>
        </w:tc>
        <w:tc>
          <w:tcPr>
            <w:tcW w:type="dxa" w:w="2033"/>
            <w:vAlign w:val="center"/>
            <w:shd w:fill="2F5597"/>
          </w:tcPr>
          <w:p>
            <w:pPr>
              <w:spacing w:after="0"/>
            </w:pPr>
            <w:r/>
            <w:r>
              <w:rPr>
                <w:rFonts w:ascii="Aptos" w:hAnsi="Aptos"/>
                <w:b/>
                <w:color w:val="FFFFFF"/>
                <w:sz w:val="18"/>
              </w:rPr>
              <w:t>Funding DF ratio</w:t>
            </w:r>
          </w:p>
        </w:tc>
        <w:tc>
          <w:tcPr>
            <w:tcW w:type="dxa" w:w="2033"/>
            <w:vAlign w:val="center"/>
            <w:shd w:fill="2F5597"/>
          </w:tcPr>
          <w:p>
            <w:pPr>
              <w:spacing w:after="0"/>
            </w:pPr>
            <w:r/>
            <w:r>
              <w:rPr>
                <w:rFonts w:ascii="Aptos" w:hAnsi="Aptos"/>
                <w:b/>
                <w:color w:val="FFFFFF"/>
                <w:sz w:val="18"/>
              </w:rPr>
              <w:t>Implied forward spread</w:t>
            </w:r>
          </w:p>
        </w:tc>
        <w:tc>
          <w:tcPr>
            <w:tcW w:type="dxa" w:w="2033"/>
            <w:vAlign w:val="center"/>
            <w:shd w:fill="2F5597"/>
          </w:tcPr>
          <w:p>
            <w:pPr>
              <w:spacing w:after="0"/>
            </w:pPr>
            <w:r/>
            <w:r>
              <w:rPr>
                <w:rFonts w:ascii="Aptos" w:hAnsi="Aptos"/>
                <w:b/>
                <w:color w:val="FFFFFF"/>
                <w:sz w:val="18"/>
              </w:rPr>
              <w:t>Target</w:t>
            </w:r>
          </w:p>
        </w:tc>
      </w:tr>
      <w:tr>
        <w:tc>
          <w:tcPr>
            <w:tcW w:type="dxa" w:w="2033"/>
            <w:vAlign w:val="center"/>
            <w:shd w:fill="F7F9FC"/>
          </w:tcPr>
          <w:p>
            <w:pPr>
              <w:spacing w:after="0"/>
            </w:pPr>
            <w:r/>
            <w:r>
              <w:rPr>
                <w:rFonts w:ascii="Aptos" w:hAnsi="Aptos"/>
                <w:b w:val="0"/>
                <w:sz w:val="18"/>
              </w:rPr>
              <w:t>Start -&gt; Mar-2027</w:t>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t>1.21%</w:t>
            </w:r>
          </w:p>
        </w:tc>
      </w:tr>
      <w:tr>
        <w:tc>
          <w:tcPr>
            <w:tcW w:type="dxa" w:w="2033"/>
            <w:vAlign w:val="center"/>
          </w:tcPr>
          <w:p>
            <w:pPr>
              <w:spacing w:after="0"/>
            </w:pPr>
            <w:r/>
            <w:r>
              <w:rPr>
                <w:rFonts w:ascii="Aptos" w:hAnsi="Aptos"/>
                <w:b w:val="0"/>
                <w:sz w:val="18"/>
              </w:rPr>
              <w:t>Mar-2027 -&gt; Mar-2032</w:t>
            </w:r>
          </w:p>
        </w:tc>
        <w:tc>
          <w:tcPr>
            <w:tcW w:type="dxa" w:w="2033"/>
            <w:vAlign w:val="center"/>
          </w:tcPr>
          <w:p>
            <w:pPr>
              <w:spacing w:after="0"/>
            </w:pPr>
            <w:r/>
            <w:r>
              <w:rPr>
                <w:rFonts w:ascii="Aptos" w:hAnsi="Aptos"/>
                <w:b w:val="0"/>
                <w:sz w:val="18"/>
              </w:rPr>
            </w:r>
          </w:p>
        </w:tc>
        <w:tc>
          <w:tcPr>
            <w:tcW w:type="dxa" w:w="2033"/>
            <w:vAlign w:val="center"/>
          </w:tcPr>
          <w:p>
            <w:pPr>
              <w:spacing w:after="0"/>
            </w:pPr>
            <w:r/>
            <w:r>
              <w:rPr>
                <w:rFonts w:ascii="Aptos" w:hAnsi="Aptos"/>
                <w:b w:val="0"/>
                <w:sz w:val="18"/>
              </w:rPr>
            </w:r>
          </w:p>
        </w:tc>
        <w:tc>
          <w:tcPr>
            <w:tcW w:type="dxa" w:w="2033"/>
            <w:vAlign w:val="center"/>
          </w:tcPr>
          <w:p>
            <w:pPr>
              <w:spacing w:after="0"/>
            </w:pPr>
            <w:r/>
            <w:r>
              <w:rPr>
                <w:rFonts w:ascii="Aptos" w:hAnsi="Aptos"/>
                <w:b w:val="0"/>
                <w:sz w:val="18"/>
              </w:rPr>
            </w:r>
          </w:p>
        </w:tc>
        <w:tc>
          <w:tcPr>
            <w:tcW w:type="dxa" w:w="2033"/>
            <w:vAlign w:val="center"/>
          </w:tcPr>
          <w:p>
            <w:pPr>
              <w:spacing w:after="0"/>
            </w:pPr>
            <w:r/>
            <w:r>
              <w:rPr>
                <w:rFonts w:ascii="Aptos" w:hAnsi="Aptos"/>
                <w:b w:val="0"/>
                <w:sz w:val="18"/>
              </w:rPr>
              <w:t>1.71%</w:t>
            </w:r>
          </w:p>
        </w:tc>
      </w:tr>
      <w:tr>
        <w:tc>
          <w:tcPr>
            <w:tcW w:type="dxa" w:w="2033"/>
            <w:vAlign w:val="center"/>
            <w:shd w:fill="F7F9FC"/>
          </w:tcPr>
          <w:p>
            <w:pPr>
              <w:spacing w:after="0"/>
            </w:pPr>
            <w:r/>
            <w:r>
              <w:rPr>
                <w:rFonts w:ascii="Aptos" w:hAnsi="Aptos"/>
                <w:b w:val="0"/>
                <w:sz w:val="18"/>
              </w:rPr>
              <w:t>Mar-2032 -&gt; Mar-2052</w:t>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r>
          </w:p>
        </w:tc>
        <w:tc>
          <w:tcPr>
            <w:tcW w:type="dxa" w:w="2033"/>
            <w:vAlign w:val="center"/>
            <w:shd w:fill="F7F9FC"/>
          </w:tcPr>
          <w:p>
            <w:pPr>
              <w:spacing w:after="0"/>
            </w:pPr>
            <w:r/>
            <w:r>
              <w:rPr>
                <w:rFonts w:ascii="Aptos" w:hAnsi="Aptos"/>
                <w:b w:val="0"/>
                <w:sz w:val="18"/>
              </w:rPr>
              <w:t>1.51%</w:t>
            </w:r>
          </w:p>
        </w:tc>
      </w:tr>
    </w:tbl>
    <w:p>
      <w:pPr>
        <w:spacing w:after="20"/>
      </w:pPr>
    </w:p>
    <w:p>
      <w:pPr>
        <w:pStyle w:val="Heading1"/>
      </w:pPr>
      <w:r>
        <w:t>16. Diagnostic if PV Still Differs</w:t>
      </w:r>
    </w:p>
    <w:p>
      <w:r>
        <w:t>If the curve passes the discount-factor and forward-spread validations but the system MTM still differs materially, do not alter the curve to compensate. Instead isolate the residual difference into the following sources:</w:t>
      </w:r>
    </w:p>
    <w:p>
      <w:pPr>
        <w:pStyle w:val="ListBullet"/>
        <w:spacing w:after="40"/>
      </w:pPr>
      <w:r>
        <w:t>Projection curve / forward SOFR</w:t>
      </w:r>
    </w:p>
    <w:p>
      <w:pPr>
        <w:pStyle w:val="ListBullet"/>
        <w:spacing w:after="40"/>
      </w:pPr>
      <w:r>
        <w:t>Compounded SOFR convention</w:t>
      </w:r>
    </w:p>
    <w:p>
      <w:pPr>
        <w:pStyle w:val="ListBullet"/>
        <w:spacing w:after="40"/>
      </w:pPr>
      <w:r>
        <w:t>5-business-day observation convention</w:t>
      </w:r>
    </w:p>
    <w:p>
      <w:pPr>
        <w:pStyle w:val="ListBullet"/>
        <w:spacing w:after="40"/>
      </w:pPr>
      <w:r>
        <w:t>Fixing treatment</w:t>
      </w:r>
    </w:p>
    <w:p>
      <w:pPr>
        <w:pStyle w:val="ListBullet"/>
        <w:spacing w:after="40"/>
      </w:pPr>
      <w:r>
        <w:t>Coupon day-count</w:t>
      </w:r>
    </w:p>
    <w:p>
      <w:pPr>
        <w:pStyle w:val="ListBullet"/>
        <w:spacing w:after="40"/>
      </w:pPr>
      <w:r>
        <w:t>Payment lag</w:t>
      </w:r>
    </w:p>
    <w:p>
      <w:pPr>
        <w:pStyle w:val="ListBullet"/>
        <w:spacing w:after="40"/>
      </w:pPr>
      <w:r>
        <w:t>Principal exchanges</w:t>
      </w:r>
    </w:p>
    <w:p>
      <w:pPr>
        <w:pStyle w:val="ListBullet"/>
        <w:spacing w:after="40"/>
      </w:pPr>
      <w:r>
        <w:t>Accretion schedule</w:t>
      </w:r>
    </w:p>
    <w:p>
      <w:pPr>
        <w:pStyle w:val="ListBullet"/>
        <w:spacing w:after="40"/>
      </w:pPr>
      <w:r>
        <w:t>Interpolation method</w:t>
      </w:r>
    </w:p>
    <w:p>
      <w:pPr>
        <w:pStyle w:val="ListBullet"/>
        <w:spacing w:after="40"/>
      </w:pPr>
      <w:r>
        <w:t>Accrued interest</w:t>
      </w:r>
    </w:p>
    <w:p>
      <w:pPr>
        <w:pStyle w:val="ListBullet"/>
        <w:spacing w:after="40"/>
      </w:pPr>
      <w:r>
        <w:t>Discounting convention</w:t>
      </w:r>
    </w:p>
    <w:p>
      <w:r>
        <w:t>Quantify each issue independently where possible. This preserves the distinction between curve construction and trade cash-flow implementation.</w:t>
      </w:r>
    </w:p>
    <w:p>
      <w:pPr>
        <w:pStyle w:val="Heading1"/>
      </w:pPr>
      <w:r>
        <w:t>17. Final Conclusion Required from System AI</w:t>
      </w:r>
    </w:p>
    <w:p>
      <w:pPr>
        <w:spacing w:after="40"/>
      </w:pPr>
      <w:r>
        <w:t>1.  State whether the previous arithmetic-average method was valid or only an approximation.</w:t>
      </w:r>
    </w:p>
    <w:p>
      <w:pPr>
        <w:spacing w:after="40"/>
      </w:pPr>
      <w:r>
        <w:t>2.  Explain whether the derived par Curve spread differs materially from the simple average.</w:t>
      </w:r>
    </w:p>
    <w:p>
      <w:pPr>
        <w:spacing w:after="40"/>
      </w:pPr>
      <w:r>
        <w:t>3.  State whether the resulting curve independently reproduces the three required forward funding spreads.</w:t>
      </w:r>
    </w:p>
    <w:p>
      <w:pPr>
        <w:spacing w:after="40"/>
      </w:pPr>
      <w:r>
        <w:t>4.  Only after those controls pass, show the resulting trade PVs and compare them with the system values.</w:t>
      </w:r>
    </w:p>
    <w:p>
      <w:pPr>
        <w:spacing w:after="40"/>
      </w:pPr>
      <w:r>
        <w:t>5.  Do not change any parameter merely because doing so improves the PV match.</w:t>
      </w:r>
    </w:p>
    <w:p>
      <w:pPr>
        <w:pStyle w:val="Heading1"/>
      </w:pPr>
      <w:r>
        <w:t>18. Beginner Summary</w:t>
      </w:r>
    </w:p>
    <w:tbl>
      <w:tblPr>
        <w:tblW w:type="auto" w:w="0"/>
        <w:tblLook w:firstColumn="1" w:firstRow="1" w:lastColumn="0" w:lastRow="0" w:noHBand="0" w:noVBand="1" w:val="04A0"/>
      </w:tblPr>
      <w:tblGrid>
        <w:gridCol w:w="10166"/>
      </w:tblGrid>
      <w:tr>
        <w:tc>
          <w:tcPr>
            <w:tcW w:type="dxa" w:w="10166"/>
            <w:shd w:fill="FFF2CC"/>
          </w:tcPr>
          <w:p>
            <w:r/>
            <w:r>
              <w:rPr>
                <w:b/>
              </w:rPr>
              <w:t xml:space="preserve">Key idea: </w:t>
            </w:r>
            <w:r>
              <w:t>121 / 171 / 151 bps tell us how much extra funding cost applies through time. They should first be used to create target funding discount factors. Only after that should those discount factors be converted into the spot-starting swap spread inputs that the system asks us to enter.</w:t>
            </w:r>
          </w:p>
          <w:p>
            <w:r>
              <w:t>The accreting principal should not be used to change the curve spread. Instead, once the curve is correct, every larger future coupon and principal cash flow is discounted using the correct funding discount factor.</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Funding curve methodology - market-data-based, no reverse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0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USD Funding Spread Curve Methodology and System AI Instructions</dc:title>
  <dc:subject>Methodology for converting contractual forward funding spreads into spot-starting curve-spread inputs</dc:subject>
  <dc:creator>OpenAI</dc:creator>
  <cp:keywords>SOFR, funding curve, discount factors, par swap spread, accreting principal, no reverse engineering</cp:keywords>
  <dc:description>generated by python-docx</dc:description>
  <cp:lastModifiedBy/>
  <cp:revision>1</cp:revision>
  <dcterms:created xsi:type="dcterms:W3CDTF">2013-12-23T23:15:00Z</dcterms:created>
  <dcterms:modified xsi:type="dcterms:W3CDTF">2013-12-23T23:15:00Z</dcterms:modified>
  <cp:category/>
</cp:coreProperties>
</file>