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pBdr>
          <w:bottom w:val="single" w:sz="5" w:color="CFD9D4" w:space="7"/>
        </w:pBdr>
      </w:pPr>
      <w:r>
        <w:t>01  무엇을 만들 것인가</w:t>
      </w:r>
    </w:p>
    <w:p>
      <w:pPr>
        <w:pStyle w:val="Title"/>
        <w:spacing w:before="120"/>
      </w:pPr>
      <w:r>
        <w:t>AI 기반 영상 기획·제작</w:t>
        <w:br/>
        <w:t>스킬 시스템</w:t>
      </w:r>
    </w:p>
    <w:p>
      <w:pPr>
        <w:pStyle w:val="Lead"/>
      </w:pPr>
      <w:r>
        <w:t>시나리오를 화면 기획으로 바꾸고, 합의한 구성을</w:t>
        <w:br/>
        <w:t>실제 제작·검수·수정까지 연결하는 체계를 검증합니다.</w:t>
      </w:r>
    </w:p>
    <w:p>
      <w:r>
        <w:t xml:space="preserve">시나리오·자료·제작 요청을 받으면 AI가 영상의 흐름과 장면 구성을 제안하고, 적절한 표현·모션·제작 방식으로 이어지도록 만들고자 합니다. </w:t>
      </w:r>
      <w:r>
        <w:rPr>
          <w:b/>
        </w:rPr>
        <w:t>스킬은 판단 절차, 참고 사례, 실행 방법, 확인 기준을 묶은 작업 단위</w:t>
      </w:r>
      <w:r>
        <w:t>입니다.</w:t>
      </w:r>
    </w:p>
    <w:p>
      <w:pPr>
        <w:pStyle w:val="Heading2"/>
      </w:pPr>
      <w:r>
        <w:t>작업은 이렇게 이어집니다</w:t>
      </w:r>
    </w:p>
    <w:p>
      <w:pPr>
        <w:pStyle w:val="Endline"/>
      </w:pPr>
      <w:r>
        <w:t>요청·원자료 → 목적·내용 분석 → 영상 흐름·화면 구성</w:t>
        <w:br/>
        <w:t>→ 사람의 선택 → 모션·제작 → 검수·수정 가능한 결과</w:t>
      </w:r>
    </w:p>
    <w:p>
      <w:pPr>
        <w:pStyle w:val="Small"/>
      </w:pPr>
      <w:r>
        <w:t>회사 기준과 판단 사례는 이 과정의 참고자료입니다. AI 모델이나 범용 영상 편집기를 새로 만드는 과제는 아닙니다.</w:t>
      </w:r>
    </w:p>
    <w:p>
      <w:pPr>
        <w:pStyle w:val="Heading2"/>
      </w:pPr>
      <w:r>
        <w:t>1차는 디자인팀, 비디자이너는 그다음입니다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721"/>
        <w:gridCol w:w="6973"/>
      </w:tblGrid>
      <w:tr>
        <w:trPr>
          <w:tblHeader/>
          <w:cantSplit/>
        </w:trPr>
        <w:tc>
          <w:tcPr>
            <w:tcW w:type="dxa" w:w="2721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대상·우선순위</w:t>
            </w:r>
          </w:p>
        </w:tc>
        <w:tc>
          <w:tcPr>
            <w:tcW w:type="dxa" w:w="6973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확인하려는 변화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1차 · 우선 대상</w:t>
              <w:br/>
              <w:t>영상 비전공 디자이너</w:t>
            </w:r>
          </w:p>
        </w:tc>
        <w:tc>
          <w:tcPr>
            <w:tcW w:type="dxa" w:w="6973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UX·편집 등 디자이너가 장면 분할, 정보 등장 순서, 모션 연결, 검수 판단을 지원받아 필요한 업무까지 스스로 완수하는가.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1차 · 함께 검증</w:t>
              <w:br/>
              <w:t>영상 전문가</w:t>
            </w:r>
          </w:p>
        </w:tc>
        <w:tc>
          <w:tcPr>
            <w:tcW w:type="dxa" w:w="6973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반복 키프레임·요소 교체·기본 전환의 부담을 줄이고 기획·연출·검수에 더 집중할 수 있는가.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2차 · 조건부 확장</w:t>
              <w:br/>
              <w:t>비디자이너</w:t>
            </w:r>
          </w:p>
        </w:tc>
        <w:tc>
          <w:tcPr>
            <w:tcW w:type="dxa" w:w="6973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1차 효과를 확인한 뒤, 일반 직원에게 필요한 범위와 사용 환경을 별도로 검토한다.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2"/>
      </w:pPr>
      <w:r>
        <w:t>사용자가 받는 결과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847"/>
        <w:gridCol w:w="4847"/>
      </w:tblGrid>
      <w:tr>
        <w:trPr>
          <w:tblHeader/>
          <w:cantSplit/>
        </w:trPr>
        <w:tc>
          <w:tcPr>
            <w:tcW w:type="dxa" w:w="484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제작 전</w:t>
            </w:r>
          </w:p>
        </w:tc>
        <w:tc>
          <w:tcPr>
            <w:tcW w:type="dxa" w:w="484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선택 이후</w:t>
            </w:r>
          </w:p>
        </w:tc>
      </w:tr>
      <w:tr>
        <w:trPr>
          <w:cantSplit/>
        </w:trPr>
        <w:tc>
          <w:tcPr>
            <w:tcW w:type="dxa" w:w="484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기획 정리 · 장면 구성안 · 표현 후보와 추천 이유</w:t>
            </w:r>
          </w:p>
        </w:tc>
        <w:tc>
          <w:tcPr>
            <w:tcW w:type="dxa" w:w="484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공통 제작 지시서 · 편집 가능한 작업 원본과 영상 · 검수·수정 기록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이번 제안은 완성 서비스 구축이 아니라, 디자인팀 내부의 제한된 연구·제작 실험을 진행하기 위한 합의입니다.</w:t>
      </w:r>
    </w:p>
    <w:p>
      <w:pPr>
        <w:pStyle w:val="Small"/>
      </w:pPr>
      <w:r>
        <w:t>효과는 아직 확인되지 않았습니다. 목적이나 자료가 불명확하면 먼저 확인하며, AI가 빈 내용을 임의로 채우지 않도록 설계합니다.</w:t>
      </w:r>
    </w:p>
    <w:p>
      <w:pPr>
        <w:pStyle w:val="Kicker"/>
        <w:pageBreakBefore/>
        <w:pBdr>
          <w:bottom w:val="single" w:sz="5" w:color="CFD9D4" w:space="7"/>
        </w:pBdr>
      </w:pPr>
      <w:r>
        <w:t>02  왜 필요한가</w:t>
      </w:r>
    </w:p>
    <w:p>
      <w:pPr>
        <w:pStyle w:val="Heading1"/>
        <w:spacing w:before="120"/>
      </w:pPr>
      <w:r>
        <w:t>기존 강점을 살리고,</w:t>
        <w:br/>
        <w:t>영상 특화 판단을 보완합니다</w:t>
      </w:r>
    </w:p>
    <w:p>
      <w:pPr>
        <w:pStyle w:val="Lead"/>
      </w:pPr>
      <w:r>
        <w:t>현재 작업에서 관찰한 차이는 부서의 우열이 아니라,</w:t>
        <w:br/>
        <w:t>서로 다른 강점과 추가로 필요한 지원의 차이입니다.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61"/>
        <w:gridCol w:w="2778"/>
        <w:gridCol w:w="2778"/>
        <w:gridCol w:w="2778"/>
      </w:tblGrid>
      <w:tr>
        <w:trPr>
          <w:tblHeader/>
          <w:cantSplit/>
        </w:trPr>
        <w:tc>
          <w:tcPr>
            <w:tcW w:type="dxa" w:w="1361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대상</w:t>
            </w:r>
          </w:p>
        </w:tc>
        <w:tc>
          <w:tcPr>
            <w:tcW w:type="dxa" w:w="2778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잘된 점·활용할 기반</w:t>
            </w:r>
          </w:p>
        </w:tc>
        <w:tc>
          <w:tcPr>
            <w:tcW w:type="dxa" w:w="2778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아쉬웠던 점</w:t>
            </w:r>
          </w:p>
        </w:tc>
        <w:tc>
          <w:tcPr>
            <w:tcW w:type="dxa" w:w="2778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연결할 지원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기획·실무</w:t>
              <w:br/>
              <w:t>담당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내용을 이해하고 주요 수치를 유지하며 영상으로 구현했습니다.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화면의 정보 위계와 모션 타이밍을 더 정리할 여지가 있었습니다.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내용 판단을 유지하고 화면·시간 설계를 지원합니다. 활용 확대는 2차입니다.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영상 비전공</w:t>
              <w:br/>
              <w:t>디자이너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일반 디자인 기본기를 가진 인력이 더 큰 분량의 영상 작업을 수행했습니다.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시간 기반 구성과 최종 완성도, 문구·수치 확인에서 보완이 필요했습니다.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장면 구성·표현 선택·모션 연결·원자료 대조를 1차로 지원합니다.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영상</w:t>
              <w:br/>
              <w:t>전문가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검토한 작업에서 내용 정확성과 영상 완성도를 확보했습니다.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세부 구현과 반복 수정에 상당한 공수가 들었습니다.</w:t>
            </w:r>
          </w:p>
        </w:tc>
        <w:tc>
          <w:tcPr>
            <w:tcW w:type="dxa" w:w="277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반복 제작·수정 지원의 효과를 별도 보조 측정합니다.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Small"/>
      </w:pPr>
      <w:r>
        <w:t>※ 제작 경험에 기반한 내부 관찰입니다. 분량·난도·인원·시간 조건이 달라 성과 순위로 비교할 수 없으며, 원인도 전문성 하나로 단정하지 않습니다. 디자인 기본기는 직무 배경이지 해당 결과의 우수성을 뜻하지 않습니다.</w:t>
      </w:r>
    </w:p>
    <w:p>
      <w:pPr>
        <w:pStyle w:val="Heading2"/>
      </w:pPr>
      <w:r>
        <w:t>기존 AI와 도구를 먼저 활용합니다</w:t>
      </w:r>
    </w:p>
    <w:p>
      <w:r>
        <w:t>AI 발전이 멈춘다는 가정으로 계획하지 않습니다.[1] 브랜드 기준 적용과 승인 기능도 이미 제품화되어 있습니다. Adobe GenStudio[2]는 브랜드 지침, AI 브랜드 검사, 승인 작업 흐름을 공식 기능으로 설명합니다.</w:t>
      </w:r>
    </w:p>
    <w:p>
      <w:r>
        <w:t xml:space="preserve">별도로 비교할 것은 </w:t>
      </w:r>
      <w:r>
        <w:rPr>
          <w:b/>
        </w:rPr>
        <w:t>장면의 문제를 정의하는 절차, 과거 선택·수정 경험, 기획에서 실제 제작·수정으로 이어지는 연결</w:t>
      </w:r>
      <w:r>
        <w:t>입니다. 자체 개발은 기존 도구로 해결되지 않는 부분에 한정합니다.</w:t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좋은 일반 지시문이나 기존 제품 설정으로 충분하다면, 더 복잡한 체계를 만들 이유는 없습니다.</w:t>
      </w:r>
    </w:p>
    <w:p>
      <w:pPr>
        <w:pStyle w:val="Source"/>
        <w:spacing w:before="120"/>
        <w:pBdr>
          <w:top w:val="single" w:sz="4" w:color="CFD9D4" w:space="4"/>
        </w:pBdr>
      </w:pPr>
      <w:r>
        <w:t>자료 및 근거</w:t>
      </w:r>
    </w:p>
    <w:p>
      <w:pPr>
        <w:pStyle w:val="Source"/>
      </w:pPr>
      <w:r>
        <w:t xml:space="preserve">[1] Stanford HAI, AI Index 2026.  </w:t>
      </w:r>
      <w:hyperlink r:id="rId11">
        <w:r>
          <w:rPr>
            <w:color w:val="566661"/>
            <w:rFonts w:ascii="Noto Sans CJK KR" w:hAnsi="Noto Sans CJK KR" w:eastAsia="Noto Sans CJK KR" w:cs="Noto Sans CJK KR"/>
          </w:rPr>
          <w:t>hai.stanford.edu/ai-index/2026-ai-index-report</w:t>
        </w:r>
      </w:hyperlink>
    </w:p>
    <w:p>
      <w:pPr>
        <w:pStyle w:val="Source"/>
      </w:pPr>
      <w:r>
        <w:t xml:space="preserve">[2] Adobe GenStudio 공식 제품 설명.  </w:t>
      </w:r>
      <w:hyperlink r:id="rId12">
        <w:r>
          <w:rPr>
            <w:color w:val="566661"/>
            <w:rFonts w:ascii="Noto Sans CJK KR" w:hAnsi="Noto Sans CJK KR" w:eastAsia="Noto Sans CJK KR" w:cs="Noto Sans CJK KR"/>
          </w:rPr>
          <w:t>business.adobe.com/products/genstudio-for-performance-marketing.html</w:t>
        </w:r>
      </w:hyperlink>
    </w:p>
    <w:p>
      <w:pPr>
        <w:pStyle w:val="Small"/>
      </w:pPr>
      <w:r>
        <w:t>위 자료는 발전 배경과 기존 기능의 존재를 보여줍니다. 회사 적합성·성능·비용을 실사용 비교한 결과는 아닙니다.</w:t>
      </w:r>
    </w:p>
    <w:p>
      <w:pPr>
        <w:pStyle w:val="Kicker"/>
        <w:pageBreakBefore/>
        <w:pBdr>
          <w:bottom w:val="single" w:sz="5" w:color="CFD9D4" w:space="7"/>
        </w:pBdr>
      </w:pPr>
      <w:r>
        <w:t>03  근거와 가설</w:t>
      </w:r>
    </w:p>
    <w:p>
      <w:pPr>
        <w:pStyle w:val="Heading1"/>
        <w:spacing w:before="120"/>
      </w:pPr>
      <w:r>
        <w:t>외부의 가능성과</w:t>
        <w:br/>
        <w:t>우리 회사의 효과를 구분합니다</w:t>
      </w:r>
    </w:p>
    <w:p>
      <w:pPr>
        <w:pStyle w:val="Heading2"/>
      </w:pPr>
      <w:r>
        <w:t>가까운 디자인 분야의 선례</w:t>
      </w:r>
    </w:p>
    <w:p>
      <w:r>
        <w:rPr>
          <w:b/>
        </w:rPr>
        <w:t>토스 ‘토스트’</w:t>
      </w:r>
      <w:r>
        <w:t>에서는 그래픽 디자이너가 회사의 표현 톤과 생성 설정을 정의·개선하고, 프로덕트 디자이너가 직접 구체화한 그래픽의 색감·질감을 보완한 협업 사례가 소개됩니다.[3] 정지 그래픽·모델 학습 사례이므로 영상 스킬의 효과를 입증하지는 않습니다.</w:t>
      </w:r>
    </w:p>
    <w:p>
      <w:pPr>
        <w:pStyle w:val="Small"/>
      </w:pPr>
      <w:r>
        <w:rPr>
          <w:b/>
        </w:rPr>
        <w:t>JohnKOBA 실무 관점:</w:t>
      </w:r>
      <w:r>
        <w:t xml:space="preserve"> 기준 이미지 설정 → 움직임 원리로 지시 → AI 결과 선택 → 디테일 보완. 직접 구현뿐 아니라 무엇을 어떻게 움직일지 정하는 판단의 중요성을 보여주는 참고입니다.</w:t>
      </w:r>
    </w:p>
    <w:p>
      <w:pPr>
        <w:pStyle w:val="Small"/>
      </w:pPr>
      <w:r>
        <w:t>JohnKOBA 내용은 제공된 영상 요약 기준이며 원영상은 미확인입니다. 직접 인용·제작 비율·비용 수치는 사용하지 않습니다.</w:t>
      </w:r>
    </w:p>
    <w:p>
      <w:pPr>
        <w:pStyle w:val="Heading2"/>
      </w:pPr>
      <w:r>
        <w:t>연구는 가능성과 한계를 함께 보여줍니다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4365"/>
        <w:gridCol w:w="3742"/>
      </w:tblGrid>
      <w:tr>
        <w:trPr>
          <w:tblHeader/>
          <w:cantSplit/>
        </w:trPr>
        <w:tc>
          <w:tcPr>
            <w:tcW w:type="dxa" w:w="158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연구</w:t>
            </w:r>
          </w:p>
        </w:tc>
        <w:tc>
          <w:tcPr>
            <w:tcW w:type="dxa" w:w="4365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확인된 결과</w:t>
            </w:r>
          </w:p>
        </w:tc>
        <w:tc>
          <w:tcPr>
            <w:tcW w:type="dxa" w:w="3742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이번 제안에서의 의미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P&amp;G</w:t>
              <w:br/>
              <w:t>791명 [4]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제품 혁신 과제에서 AI 사용 개인이 AI 없는 2인 팀과 비슷한 성과를 보였고, 직무별 관점 차이가 완화됐습니다.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직무 간 전문성 활용 범위가 넓어질 가능성. 우리 사례·스킬의 효과는 별도 검증 대상입니다.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BCG</w:t>
              <w:br/>
              <w:t>758명 [5]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수행 가능한 과제의 완료량은 12.2% 증가했습니다. 별도의 복잡한 과제 정답률은 AI 없음 84.5%, GPT-4 70.6%, GPT-4와 안내 60%였습니다.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같은 AI도 과제별 효과가 다릅니다. 영상 제작 연구나 현재 모델의 성능표가 아닙니다.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2"/>
      </w:pPr>
      <w:r>
        <w:t>대표 가설</w:t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영상 전문성을 재사용 가능한 판단 지식으로 구조화해 AI에 제공하면, 일반 AI만 사용할 때보다 품질·효율·일관성을 높이고 다른 영상 업무에도 일부 전이될 수 있다.</w:t>
      </w:r>
    </w:p>
    <w:p>
      <w:pPr>
        <w:pStyle w:val="Small"/>
      </w:pPr>
      <w:r>
        <w:t xml:space="preserve">따로 확인할 질문은 </w:t>
      </w:r>
      <w:r>
        <w:rPr>
          <w:b/>
        </w:rPr>
        <w:t>구조화 가능성 / 실제 활용 효과 / 다른 업무 재사용 / 구축·관리 비용 대비 가치</w:t>
      </w:r>
      <w:r>
        <w:t>입니다. 하나의 성공이 다음의 성공을 보장하지 않으며, 전문가의 역할 변화도 실제 작업 기록으로 확인합니다.</w:t>
      </w:r>
    </w:p>
    <w:p>
      <w:pPr>
        <w:pStyle w:val="Source"/>
        <w:spacing w:before="120"/>
        <w:pBdr>
          <w:top w:val="single" w:sz="4" w:color="CFD9D4" w:space="4"/>
        </w:pBdr>
      </w:pPr>
      <w:r>
        <w:t>자료 및 근거</w:t>
      </w:r>
    </w:p>
    <w:p>
      <w:pPr>
        <w:pStyle w:val="Source"/>
      </w:pPr>
      <w:r>
        <w:t xml:space="preserve">[3] 토스 공식 제작·활용기(2023).  </w:t>
      </w:r>
      <w:hyperlink r:id="rId13">
        <w:r>
          <w:rPr>
            <w:color w:val="566661"/>
            <w:rFonts w:ascii="Noto Sans CJK KR" w:hAnsi="Noto Sans CJK KR" w:eastAsia="Noto Sans CJK KR" w:cs="Noto Sans CJK KR"/>
          </w:rPr>
          <w:t>toss.tech/article/ai-graphic-generator-1</w:t>
        </w:r>
      </w:hyperlink>
    </w:p>
    <w:p>
      <w:pPr>
        <w:pStyle w:val="Source"/>
      </w:pPr>
      <w:r>
        <w:t xml:space="preserve">활용 사례  </w:t>
      </w:r>
      <w:hyperlink r:id="rId14">
        <w:r>
          <w:rPr>
            <w:color w:val="566661"/>
            <w:rFonts w:ascii="Noto Sans CJK KR" w:hAnsi="Noto Sans CJK KR" w:eastAsia="Noto Sans CJK KR" w:cs="Noto Sans CJK KR"/>
          </w:rPr>
          <w:t>toss.tech/article/ai-graphic-generator-2</w:t>
        </w:r>
      </w:hyperlink>
    </w:p>
    <w:p>
      <w:pPr>
        <w:pStyle w:val="Source"/>
      </w:pPr>
      <w:r>
        <w:t xml:space="preserve">[4] Dell’Acqua 외, The Cybernetic Teammate (2026).  </w:t>
      </w:r>
      <w:hyperlink r:id="rId15">
        <w:r>
          <w:rPr>
            <w:color w:val="566661"/>
            <w:rFonts w:ascii="Noto Sans CJK KR" w:hAnsi="Noto Sans CJK KR" w:eastAsia="Noto Sans CJK KR" w:cs="Noto Sans CJK KR"/>
          </w:rPr>
          <w:t>doi.org/10.1287/orsc.2025.20702</w:t>
        </w:r>
      </w:hyperlink>
    </w:p>
    <w:p>
      <w:pPr>
        <w:pStyle w:val="Source"/>
      </w:pPr>
      <w:r>
        <w:t xml:space="preserve">[5] Dell’Acqua 외, Navigating the Jagged Technological Frontier (2026).  </w:t>
      </w:r>
      <w:hyperlink r:id="rId16">
        <w:r>
          <w:rPr>
            <w:color w:val="566661"/>
            <w:rFonts w:ascii="Noto Sans CJK KR" w:hAnsi="Noto Sans CJK KR" w:eastAsia="Noto Sans CJK KR" w:cs="Noto Sans CJK KR"/>
          </w:rPr>
          <w:t>doi.org/10.1287/orsc.2025.21838</w:t>
        </w:r>
      </w:hyperlink>
    </w:p>
    <w:p>
      <w:pPr>
        <w:pStyle w:val="Kicker"/>
        <w:pageBreakBefore/>
        <w:pBdr>
          <w:bottom w:val="single" w:sz="5" w:color="CFD9D4" w:space="7"/>
        </w:pBdr>
      </w:pPr>
      <w:r>
        <w:t>04  어떻게 만들 것인가</w:t>
      </w:r>
    </w:p>
    <w:p>
      <w:pPr>
        <w:pStyle w:val="Heading1"/>
        <w:spacing w:before="120"/>
      </w:pPr>
      <w:r>
        <w:t>판단 지식을 실제 스킬로 만드는 구조</w:t>
      </w:r>
    </w:p>
    <w:p>
      <w:pPr>
        <w:pStyle w:val="Lead"/>
      </w:pPr>
      <w:r>
        <w:t>모든 영상을 정해진 템플릿에 맞추지 않고,</w:t>
        <w:br/>
        <w:t>재사용할 판단·표현·실행을 구분해 연결합니다.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7597"/>
      </w:tblGrid>
      <w:tr>
        <w:trPr>
          <w:tblHeader/>
          <w:cantSplit/>
        </w:trPr>
        <w:tc>
          <w:tcPr>
            <w:tcW w:type="dxa" w:w="2098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지식 자원</w:t>
            </w:r>
          </w:p>
        </w:tc>
        <w:tc>
          <w:tcPr>
            <w:tcW w:type="dxa" w:w="759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담는 내용과 사용 방식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회사 고정 기준</w:t>
            </w:r>
          </w:p>
        </w:tc>
        <w:tc>
          <w:tcPr>
            <w:tcW w:type="dxa" w:w="759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브랜드 컬러·폰트·로고·표기와 승인된 제작 규격. 불변 규칙이 아니라 현재 승인 버전이 명확한 기준입니다.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판단 스킬</w:t>
            </w:r>
          </w:p>
        </w:tc>
        <w:tc>
          <w:tcPr>
            <w:tcW w:type="dxa" w:w="759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목적을 해석하고 정보 관계와 표현 후보를 비교해 추천하는 절차입니다.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사례 데이터베이스</w:t>
            </w:r>
          </w:p>
        </w:tc>
        <w:tc>
          <w:tcPr>
            <w:tcW w:type="dxa" w:w="759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실제 상황·후보·선택 이유·수정·아쉬웠던 결과·적용 한계를 참고합니다.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실행 부품</w:t>
            </w:r>
          </w:p>
        </w:tc>
        <w:tc>
          <w:tcPr>
            <w:tcW w:type="dxa" w:w="759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순차 등장·확대·탈강조·카운트업·전환처럼 선택된 표현을 구현합니다.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Small"/>
      </w:pPr>
      <w:r>
        <w:rPr>
          <w:b/>
        </w:rPr>
        <w:t>회사 기준·사례·표현 자료</w:t>
      </w:r>
      <w:r>
        <w:t>를 참고해 판단 스킬이 장면 구성을 제안합니다. 사람이 방향을 선택한 뒤 실행 부품과 제작 스킬을 연결합니다. 기준과 사례는 순차 제작 단계가 아닙니다.</w:t>
      </w:r>
    </w:p>
    <w:p>
      <w:pPr>
        <w:pStyle w:val="Heading2"/>
      </w:pPr>
      <w:r>
        <w:t>‘화면 구성 판단’ 스킬의 실제 사양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57"/>
        <w:gridCol w:w="7937"/>
      </w:tblGrid>
      <w:tr>
        <w:trPr>
          <w:tblHeader/>
          <w:cantSplit/>
        </w:trPr>
        <w:tc>
          <w:tcPr>
            <w:tcW w:type="dxa" w:w="175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구성</w:t>
            </w:r>
          </w:p>
        </w:tc>
        <w:tc>
          <w:tcPr>
            <w:tcW w:type="dxa" w:w="793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작성할 내용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사용 시점·입력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전달 내용은 있으나 화면이 정해지지 않았을 때. 시나리오·장면 목적·필수 정보·자료·제작 제약을 입력합니다.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판단 절차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핵심 정보 → 정보 관계 → 표현 후보 → 사례와 현재 조건의 차이 → 추천.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참고자료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승인된 회사 기준, 관련 사례, 표현 방법별 적용 조건.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출력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화면 구성안, 추천 이유, 예상 한계, 필요한 자료·모션, 제작 지시.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멈춤·확인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목적 충돌, 근거 없는 수치, 자료 부족, 지원 범위 초과 시 확인합니다.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완료 확인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핵심 누락, 조건 충족, 실제 제작 가능성과 수정 가능성을 확인합니다.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Small"/>
      </w:pPr>
      <w:r>
        <w:t>표현 목적·방법인 ‘비교·강조·공간 설명’과 실행 부품인 ‘이동·확대·순차 등장’을 섞지 않습니다. 반복 업무의 템플릿 활용은 허용하되 모든 기획을 강제하지 않습니다.</w:t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전체 기획은 영상의 흐름, 화면 판단은 장면 구성, 제작 스킬은 합의한 지시의 구현을 맡습니다. 실행 연결은 별도로 만들고 시험합니다.</w:t>
      </w:r>
    </w:p>
    <w:p>
      <w:pPr>
        <w:pStyle w:val="Kicker"/>
        <w:pageBreakBefore/>
        <w:pBdr>
          <w:bottom w:val="single" w:sz="5" w:color="CFD9D4" w:space="7"/>
        </w:pBdr>
      </w:pPr>
      <w:r>
        <w:t>05  실제 작업에 연결</w:t>
      </w:r>
    </w:p>
    <w:p>
      <w:pPr>
        <w:pStyle w:val="Heading1"/>
        <w:spacing w:before="120"/>
      </w:pPr>
      <w:r>
        <w:t>화면 선택에서 제작·수정·검수까지</w:t>
      </w:r>
    </w:p>
    <w:p>
      <w:pPr>
        <w:pStyle w:val="Small"/>
      </w:pPr>
      <w:r>
        <w:rPr>
          <w:b/>
        </w:rPr>
        <w:t>설명용 설계 예시입니다.</w:t>
      </w:r>
      <w:r>
        <w:t xml:space="preserve"> 실제 회사 성과나 첫 실험 유형을 뜻하지 않습니다. “여러 항목을 소개한 뒤 한 항목을 더 설명하고 싶다”는 요청에서, 전체 관계 유지·상세 설명 공간·대사와 함께 보여야 할 정보를 먼저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340"/>
        <w:gridCol w:w="4677"/>
      </w:tblGrid>
      <w:tr>
        <w:trPr>
          <w:cantSplit/>
          <w:trHeight w:val="2494" w:hRule="exact"/>
        </w:trPr>
        <w:tc>
          <w:tcPr>
            <w:tcW w:type="dxa" w:w="4677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BFCFB"/>
            <w:tcBorders>
              <w:top w:val="dashed" w:sz="5" w:color="CFD9D4"/>
              <w:left w:val="dashed" w:sz="5" w:color="CFD9D4"/>
              <w:bottom w:val="dashed" w:sz="5" w:color="CFD9D4"/>
              <w:right w:val="dashed" w:sz="5" w:color="CFD9D4"/>
            </w:tcBorders>
          </w:tcPr>
          <w:p>
            <w:pPr>
              <w:pStyle w:val="Placeholder"/>
              <w:jc w:val="center"/>
            </w:pPr>
            <w:r>
              <w:t>이미지 삽입</w:t>
            </w:r>
          </w:p>
        </w:tc>
        <w:tc>
          <w:tcPr>
            <w:tcW w:type="dxa" w:w="34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pStyle w:val="Placeholder"/>
              <w:jc w:val="center"/>
            </w:pPr>
          </w:p>
        </w:tc>
        <w:tc>
          <w:tcPr>
            <w:tcW w:type="dxa" w:w="4677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  <w:shd w:fill="FBFCFB"/>
            <w:tcBorders>
              <w:top w:val="dashed" w:sz="5" w:color="CFD9D4"/>
              <w:left w:val="dashed" w:sz="5" w:color="CFD9D4"/>
              <w:bottom w:val="dashed" w:sz="5" w:color="CFD9D4"/>
              <w:right w:val="dashed" w:sz="5" w:color="CFD9D4"/>
            </w:tcBorders>
          </w:tcPr>
          <w:p>
            <w:pPr>
              <w:pStyle w:val="Placeholder"/>
              <w:jc w:val="center"/>
            </w:pPr>
            <w:r>
              <w:t>이미지 삽입</w:t>
            </w:r>
          </w:p>
        </w:tc>
      </w:tr>
      <w:tr>
        <w:trPr>
          <w:cantSplit/>
        </w:trPr>
        <w:tc>
          <w:tcPr>
            <w:tcW w:type="dxa" w:w="4677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pStyle w:val="Placeholder"/>
              <w:jc w:val="center"/>
            </w:pPr>
            <w:r>
              <w:rPr>
                <w:b/>
              </w:rPr>
              <w:t>구성안 A · 목록 유지와 대상 강조</w:t>
            </w:r>
          </w:p>
        </w:tc>
        <w:tc>
          <w:tcPr>
            <w:tcW w:type="dxa" w:w="340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pStyle w:val="Placeholder"/>
              <w:jc w:val="center"/>
            </w:pPr>
          </w:p>
        </w:tc>
        <w:tc>
          <w:tcPr>
            <w:tcW w:type="dxa" w:w="4677"/>
            <w:tcMar>
              <w:top w:w="55" w:type="dxa"/>
              <w:bottom w:w="55" w:type="dxa"/>
              <w:left w:w="100" w:type="dxa"/>
              <w:right w:w="100" w:type="dxa"/>
            </w:tcMar>
            <w:vAlign w:val="center"/>
          </w:tcPr>
          <w:p>
            <w:pPr>
              <w:pStyle w:val="Placeholder"/>
              <w:jc w:val="center"/>
            </w:pPr>
            <w:r>
              <w:rPr>
                <w:b/>
              </w:rPr>
              <w:t>구성안 B · 상세 화면으로 전환</w:t>
            </w:r>
          </w:p>
        </w:tc>
      </w:tr>
    </w:tbl>
    <w:p>
      <w:pPr>
        <w:pStyle w:val="Small"/>
      </w:pPr>
      <w:r>
        <w:t>이미지는 설명용 구성안으로 삽입합니다. 실제 프로젝트 사례로 사용할 때는 자료와 선택 이유를 확인합니다.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7880"/>
      </w:tblGrid>
      <w:tr>
        <w:trPr>
          <w:tblHeader/>
          <w:cantSplit/>
        </w:trPr>
        <w:tc>
          <w:tcPr>
            <w:tcW w:type="dxa" w:w="1814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구성 후보</w:t>
            </w:r>
          </w:p>
        </w:tc>
        <w:tc>
          <w:tcPr>
            <w:tcW w:type="dxa" w:w="7880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적합한 조건과 주의점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A · 목록 유지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항목 간 관계를 유지해야 할 때 활용합니다. 상세 설명 공간이 제한될 수 있습니다.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B · 상세 전환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한 항목을 충분히 설명할 때 활용합니다. 앞선 목록과의 관계를 다시 연결해야 합니다.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Small"/>
      </w:pPr>
      <w:r>
        <w:t>추천은 고정하지 않습니다. 현재 목적과 자료에 따라 선택 이유를 기록하고, 그다음 모션 부품을 연결합니다. 동작 때문에 읽기 어려워지면 화면 구성으로 돌아가 조정합니다.</w:t>
      </w:r>
    </w:p>
    <w:p>
      <w:pPr>
        <w:pStyle w:val="Heading2"/>
      </w:pPr>
      <w:r>
        <w:t>합의한 구성은 공통 제작 지시서로 전달합니다</w:t>
      </w:r>
    </w:p>
    <w:p>
      <w:r>
        <w:t>장면 목적, 요소·역할, 등장 순서·시간, 기준 위치·완료 상태, 모션 강도, 수정 가능한 글자·수치·이미지, 보호할 구성, 검사 항목을 기록합니다. 제작 스킬이 이를 실제 레이어와 움직임으로 옮깁니다.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7880"/>
      </w:tblGrid>
      <w:tr>
        <w:trPr>
          <w:tblHeader/>
          <w:cantSplit/>
        </w:trPr>
        <w:tc>
          <w:tcPr>
            <w:tcW w:type="dxa" w:w="1814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확인 영역</w:t>
            </w:r>
          </w:p>
        </w:tc>
        <w:tc>
          <w:tcPr>
            <w:tcW w:type="dxa" w:w="7880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확인 방식·책임 제안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내용·수치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원자료와 대조하고 원자료 담당자가 사실을 확인합니다.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규격·표기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자동 검사와 실제 출력 화면을 함께 확인합니다.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화면·연출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제작자가 확인하고, 어려운 예외만 영상 전문가가 검토합니다.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최종 사용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의뢰 담당이 목적 적합성과 대외 사용 범위를 승인합니다.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Small"/>
      </w:pPr>
      <w:r>
        <w:t>문구·숫자 변경 시 영향받는 영역만 확인하고 승인된 다른 부분은 유지합니다. 사람의 개입은 목적·방향·예외·최종 사용에 집중합니다. 원자료가 틀리면 자동 대조만으로 사실성이 보장되지는 않습니다.</w:t>
      </w:r>
    </w:p>
    <w:p>
      <w:pPr>
        <w:pStyle w:val="Kicker"/>
        <w:pageBreakBefore/>
        <w:pBdr>
          <w:bottom w:val="single" w:sz="5" w:color="CFD9D4" w:space="7"/>
        </w:pBdr>
      </w:pPr>
      <w:r>
        <w:t>06  단계별 진행</w:t>
      </w:r>
    </w:p>
    <w:p>
      <w:pPr>
        <w:pStyle w:val="Heading1"/>
        <w:spacing w:before="120"/>
      </w:pPr>
      <w:r>
        <w:t>사례를 쌓고, 좁게 만들어 검증합니다</w:t>
      </w:r>
    </w:p>
    <w:p>
      <w:pPr>
        <w:pStyle w:val="Heading2"/>
      </w:pPr>
      <w:r>
        <w:t>초기 사례는 제작자가 복원하고 AI가 규격화합니다</w:t>
      </w:r>
    </w:p>
    <w:p>
      <w:r>
        <w:t xml:space="preserve">의미 있는 장면 선정 → 판단·수정 이유 기록 → AI 규격화 → 제작자 확인 → 필요한 사례의 교차 검토. </w:t>
      </w:r>
      <w:r>
        <w:rPr>
          <w:b/>
        </w:rPr>
        <w:t>원기록에서 확인한 사실, 제작자 회고, 미확인 항목을 구분</w:t>
      </w:r>
      <w:r>
        <w:t>하고, 고객 지시·개인 선호를 일반 영상 원칙으로 바꾸지 않습니다.</w:t>
      </w:r>
    </w:p>
    <w:p>
      <w:pPr>
        <w:pStyle w:val="Small"/>
      </w:pPr>
      <w:r>
        <w:t>상황·목적·제약·후보·선택 이유·수정·최종 결과·한계를 기록합니다. AI가 이유를 보충 창작하지 않으며, 기록·검토 시간도 비용에 포함합니다. 자동 수집은 초기 대상에서 제외합니다.</w:t>
      </w:r>
    </w:p>
    <w:p>
      <w:pPr>
        <w:pStyle w:val="Heading2"/>
      </w:pPr>
      <w:r>
        <w:t>사례가 반복돼도 바로 정답 규칙으로 만들지 않습니다</w:t>
      </w:r>
    </w:p>
    <w:p>
      <w:pPr>
        <w:pStyle w:val="Endline"/>
      </w:pPr>
      <w:r>
        <w:t>유사 판단 반복 → 공통 절차 후보 → 다른 작업에서 시험</w:t>
        <w:br/>
        <w:t>→ 효과 확인 → 정식 스킬</w:t>
      </w:r>
    </w:p>
    <w:p>
      <w:pPr>
        <w:pStyle w:val="Small"/>
      </w:pPr>
      <w:r>
        <w:t>효과가 없거나 AI 발전으로 가치가 사라진 스킬은 통합·단순화·폐기합니다. 판단 이력과 되돌릴 수 있는 버전은 보존합니다.</w:t>
      </w:r>
    </w:p>
    <w:p>
      <w:pPr>
        <w:pStyle w:val="Heading2"/>
      </w:pPr>
      <w:r>
        <w:t>전체 지도와 실제 구현의 범위를 구분합니다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31"/>
        <w:gridCol w:w="4252"/>
        <w:gridCol w:w="3912"/>
      </w:tblGrid>
      <w:tr>
        <w:trPr>
          <w:tblHeader/>
          <w:cantSplit/>
        </w:trPr>
        <w:tc>
          <w:tcPr>
            <w:tcW w:type="dxa" w:w="1531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단계</w:t>
            </w:r>
          </w:p>
        </w:tc>
        <w:tc>
          <w:tcPr>
            <w:tcW w:type="dxa" w:w="4252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남길 결과</w:t>
            </w:r>
          </w:p>
        </w:tc>
        <w:tc>
          <w:tcPr>
            <w:tcW w:type="dxa" w:w="3912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다음 단계 전 확인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전체 지도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영상 업무·반복 판단·기존 대안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실제 지원 필요가 있는가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지식 구조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책임·입출력·선정 사례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취향과 공통 판단이 구분되는가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제작 연결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필요한 스킬·모션·편집 가능한 샘플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합의한 화면과 결과가 이어지는가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첫 업무 비교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일반 AI 대비 작업·결과 기록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품질과 전체 노력에서 이득이 있는가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다른 업무 적용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재사용·추가 수정·새 지식 기록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새 업무에서도 이점이 남는가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확대 판단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유지·통합·중단 항목</w:t>
            </w:r>
          </w:p>
        </w:tc>
        <w:tc>
          <w:tcPr>
            <w:tcW w:type="dxa" w:w="3912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유지비를 포함해 계속할 가치가 있는가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t>첫 영상 유형은 지금 지정하지 않습니다. 실제 수요, 반복성, 필요한 판단, 자료 이용 가능성, 평가 가능성으로 선정합니다. 여러 엔진·전사 편집기·자동 수집을 동시에 만들지 않고, 자료 확인과 평가에 필요한 협조를 구분합니다.</w:t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시연이 되는 것, 실제 제작에 쓰는 것, 다른 업무에서 다시 쓰는 것은 서로 다른 완료입니다.</w:t>
      </w:r>
    </w:p>
    <w:p>
      <w:pPr>
        <w:pStyle w:val="Kicker"/>
        <w:pageBreakBefore/>
        <w:pBdr>
          <w:bottom w:val="single" w:sz="5" w:color="CFD9D4" w:space="7"/>
        </w:pBdr>
      </w:pPr>
      <w:r>
        <w:t>07  어떻게 검증할 것인가</w:t>
      </w:r>
    </w:p>
    <w:p>
      <w:pPr>
        <w:pStyle w:val="Heading1"/>
        <w:spacing w:before="120"/>
      </w:pPr>
      <w:r>
        <w:t>같은 조건에서 추가효과를 비교합니다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11"/>
        <w:gridCol w:w="7483"/>
      </w:tblGrid>
      <w:tr>
        <w:trPr>
          <w:tblHeader/>
          <w:cantSplit/>
        </w:trPr>
        <w:tc>
          <w:tcPr>
            <w:tcW w:type="dxa" w:w="2211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조건</w:t>
            </w:r>
          </w:p>
        </w:tc>
        <w:tc>
          <w:tcPr>
            <w:tcW w:type="dxa" w:w="7483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주 비교와 참고 기준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A · 일반 AI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영상 비전공 디자이너 + 일반 AI + 좋은 일반 지시문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B · 지식 체계 적용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유사한 조건의 디자이너 + 동일 AI + 판단·사례·실행 체계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C · 전문가 참고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영상 전문가의 결과. 승패가 아니라 목적에 맞는 결과의 참고 기준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t>원자료·브랜드 기준·도구·자산과 작업 조건은 맞춥니다. 시험의 정답 화면이나 수정 이력을 B의 사례에 넣지 않습니다. 영상 전문가의 반복 공수 감소는 별도로 보조 측정합니다.</w:t>
      </w:r>
    </w:p>
    <w:p>
      <w:pPr>
        <w:pStyle w:val="Small"/>
      </w:pPr>
      <w:r>
        <w:t>경험 차이를 고려하고 같은 과제를 연속 수행하는 학습효과를 피합니다. 평가자는 가능한 범위에서 제작 조건을 모르고 평가합니다. 모델·자료·스킬 버전, 지원시간, 실패 시도도 남깁니다.</w:t>
      </w:r>
    </w:p>
    <w:p>
      <w:pPr>
        <w:pStyle w:val="Heading2"/>
      </w:pPr>
      <w:r>
        <w:t>정해진 시간의 품질과, 합격까지 걸린 시간을 구분합니다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57"/>
        <w:gridCol w:w="7937"/>
      </w:tblGrid>
      <w:tr>
        <w:trPr>
          <w:tblHeader/>
          <w:cantSplit/>
        </w:trPr>
        <w:tc>
          <w:tcPr>
            <w:tcW w:type="dxa" w:w="175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평가 항목</w:t>
            </w:r>
          </w:p>
        </w:tc>
        <w:tc>
          <w:tcPr>
            <w:tcW w:type="dxa" w:w="793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관찰할 내용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판단·결과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핵심 누락, 정보 우선순위, 화면·표현 적합성, 읽기 쉬움, 장면 연결, 모션 과잉·부족, 브랜드 기준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정확성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수치·단위·명칭·누락과 자동 검사가 놓친 오류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사용성·효율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독립 완수, 수정 횟수, 편집 가능한 원본, 기획·제작·수정·검수·지원·기록·대기시간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2"/>
      </w:pPr>
      <w:r>
        <w:t>두 번째 업무에서 재사용과 전체 비용을 확인합니다</w:t>
      </w:r>
    </w:p>
    <w:p>
      <w:r>
        <w:rPr>
          <w:b/>
        </w:rPr>
        <w:t>그대로 재사용 / 수정 후 재사용 / 새롭게 필요 / 사용하지 않음</w:t>
      </w:r>
      <w:r>
        <w:t>을 구분하고, 부품 수뿐 아니라 추가 공수와 결과 적합성을 봅니다. 재사용이 낮으면 과제 차이·검색·입력 자료·스킬 경계를 나눠 진단합니다.</w:t>
      </w:r>
    </w:p>
    <w:p>
      <w:pPr>
        <w:pStyle w:val="Small"/>
      </w:pPr>
      <w:r>
        <w:t>최초 구축시간, 반복 유지시간, AI·도구 실행비를 별도로 기록합니다. 확보한 시간을 바로 현금 절감으로 계산하지 않습니다. 잠재수요는 막연한 의향보다 실제 보류·대체 업무로 확인합니다.</w:t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중요한 오류를 시간 절감으로 상쇄하지 않습니다. 작은 첫 시험은 개선 신호와 실패 원인을 보는 단계입니다.</w:t>
      </w:r>
    </w:p>
    <w:p>
      <w:pPr>
        <w:pStyle w:val="Small"/>
      </w:pPr>
      <w:r>
        <w:t>B가 나아져도 체계 전체의 효과입니다. 사례의 선택 이유 하나가 원인인지, 개인의 독립 판단 역량이 학습됐는지는 별도 문제입니다.</w:t>
      </w:r>
    </w:p>
    <w:p>
      <w:pPr>
        <w:pStyle w:val="Kicker"/>
        <w:pageBreakBefore/>
        <w:pBdr>
          <w:bottom w:val="single" w:sz="5" w:color="CFD9D4" w:space="7"/>
        </w:pBdr>
      </w:pPr>
      <w:r>
        <w:t>08  진행 합의</w:t>
      </w:r>
    </w:p>
    <w:p>
      <w:pPr>
        <w:pStyle w:val="Heading1"/>
        <w:spacing w:before="120"/>
      </w:pPr>
      <w:r>
        <w:t>남길 가치와 다음 범위를 함께 정합니다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38"/>
        <w:gridCol w:w="7257"/>
      </w:tblGrid>
      <w:tr>
        <w:trPr>
          <w:tblHeader/>
          <w:cantSplit/>
        </w:trPr>
        <w:tc>
          <w:tcPr>
            <w:tcW w:type="dxa" w:w="2438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남아 있는 위험</w:t>
            </w:r>
          </w:p>
        </w:tc>
        <w:tc>
          <w:tcPr>
            <w:tcW w:type="dxa" w:w="7257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준비할 대응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일반 AI만으로 충분해짐</w:t>
            </w:r>
          </w:p>
        </w:tc>
        <w:tc>
          <w:tcPr>
            <w:tcW w:type="dxa" w:w="72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같은 기준 과제로 다시 비교하고 절차·부품을 단순화합니다.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사례가 취향을 고정함</w:t>
            </w:r>
          </w:p>
        </w:tc>
        <w:tc>
          <w:tcPr>
            <w:tcW w:type="dxa" w:w="72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다른 전문가 검토, 반대 사례와 적용 한계를 보존합니다.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사람 검수가 병목이 됨</w:t>
            </w:r>
          </w:p>
        </w:tc>
        <w:tc>
          <w:tcPr>
            <w:tcW w:type="dxa" w:w="72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영향이 큰 결정에 개입을 집중하고 검수시간도 측정합니다.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유지비가 더 커짐</w:t>
            </w:r>
          </w:p>
        </w:tc>
        <w:tc>
          <w:tcPr>
            <w:tcW w:type="dxa" w:w="72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사용 빈도·효과에 따라 통합·중단·기존 도구 대체를 검토합니다.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자료 이용 범위가 불명확함</w:t>
            </w:r>
          </w:p>
        </w:tc>
        <w:tc>
          <w:tcPr>
            <w:tcW w:type="dxa" w:w="7257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승인된 자료만 쓰고 외부 입력·공개 범위를 확인합니다.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Small"/>
      </w:pPr>
      <w:r>
        <w:t>전문가 연결은 AI의 임의 신뢰도 점수가 아니라 내용 불일치·자료 부족·브랜드 예외·지원 범위 밖 수정처럼 확인 가능한 조건으로 정합니다. 인간과 AI의 결합도 항상 최선은 아니라는 연구 결과를 설계상의 주의로 둡니다.[6]</w:t>
      </w:r>
    </w:p>
    <w:p>
      <w:pPr>
        <w:pStyle w:val="Heading2"/>
      </w:pPr>
      <w:r>
        <w:t>성공 기준은 다음 선택지로 논의합니다</w:t>
      </w:r>
    </w:p>
    <w:tbl>
      <w:tblPr>
        <w:tblW w:type="dxa" w:w="969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44"/>
        <w:gridCol w:w="8050"/>
      </w:tblGrid>
      <w:tr>
        <w:trPr>
          <w:tblHeader/>
          <w:cantSplit/>
        </w:trPr>
        <w:tc>
          <w:tcPr>
            <w:tcW w:type="dxa" w:w="1644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관점</w:t>
            </w:r>
          </w:p>
        </w:tc>
        <w:tc>
          <w:tcPr>
            <w:tcW w:type="dxa" w:w="8050"/>
            <w:vAlign w:val="center"/>
            <w:shd w:fill="0F4F4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pStyle w:val="TableHead"/>
            </w:pPr>
            <w:r>
              <w:t>판단할 질문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효율 중심</w:t>
            </w:r>
          </w:p>
        </w:tc>
        <w:tc>
          <w:tcPr>
            <w:tcW w:type="dxa" w:w="805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필요한 품질을 유지하면서 전체 작업시간과 도움 요청을 줄이는가.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역량 중심</w:t>
            </w:r>
          </w:p>
        </w:tc>
        <w:tc>
          <w:tcPr>
            <w:tcW w:type="dxa" w:w="805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같은 시간 안에 더 적절한 화면을 구성하고 더 넓은 업무를 완수하는가.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b/>
                <w:color w:val="0F4F4C"/>
                <w:sz w:val="20"/>
              </w:rPr>
              <w:t>종합 판단</w:t>
            </w:r>
          </w:p>
        </w:tc>
        <w:tc>
          <w:tcPr>
            <w:tcW w:type="dxa" w:w="805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0F5F3"/>
            <w:tcBorders>
              <w:bottom w:val="single" w:sz="4" w:color="CFD9D4"/>
            </w:tcBorders>
          </w:tcPr>
          <w:p>
            <w:pPr>
              <w:pStyle w:val="TableText"/>
            </w:pPr>
            <w:r>
              <w:rPr>
                <w:sz w:val="20"/>
              </w:rPr>
              <w:t>필수 품질을 지키면서 전체 노력 대비 가치가 있고 다른 업무에서도 이득이 있는가.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rPr>
          <w:b/>
        </w:rPr>
        <w:t>권고:</w:t>
      </w:r>
      <w:r>
        <w:t xml:space="preserve"> 종합 판단을 지속 사용 기준으로 두되, 첫 업무의 중심 개선 목표는 함께 정합니다. 목표 수치와 검토 시점은 기준 작업을 확인한 후 합의합니다.</w:t>
      </w:r>
    </w:p>
    <w:p>
      <w:pPr>
        <w:pStyle w:val="Heading2"/>
      </w:pPr>
      <w:r>
        <w:t>이번에 정할 것과 후속 범위</w:t>
      </w:r>
    </w:p>
    <w:p>
      <w:pPr>
        <w:pStyle w:val="Small"/>
      </w:pPr>
      <w:r>
        <w:t xml:space="preserve">첫 실험 업무·자료 사용 범위·평가 참여자·검증할 작업 범위를 정합니다. 1차에서 효과가 확인되면 비디자이너에 맞게 재구성합니다. </w:t>
      </w:r>
      <w:r>
        <w:rPr>
          <w:b/>
        </w:rPr>
        <w:t>PowerPoint 내용·배치 편집 → 개체 읽기·변환 → Remotion 모션·영상 출력</w:t>
      </w:r>
      <w:r>
        <w:t>은 그때의 구현 후보입니다. 추가 기능은 사용성 확인 후 검토합니다.</w:t>
      </w:r>
    </w:p>
    <w:p>
      <w:pPr>
        <w:pStyle w:val="Endline"/>
        <w:spacing w:before="160" w:after="140"/>
        <w:ind w:left="170"/>
        <w:pBdr>
          <w:left w:val="single" w:sz="14" w:color="C86326" w:space="7"/>
        </w:pBdr>
      </w:pPr>
      <w:r>
        <w:t>우선 영상 전문지식을 실제 제작에 전달할 수 있는지 확인하고, 효과가 확인되는 만큼만 확장하려 합니다.</w:t>
      </w:r>
    </w:p>
    <w:p>
      <w:pPr>
        <w:pStyle w:val="Source"/>
        <w:spacing w:before="120"/>
        <w:pBdr>
          <w:top w:val="single" w:sz="4" w:color="CFD9D4" w:space="4"/>
        </w:pBdr>
      </w:pPr>
      <w:r>
        <w:t>자료 및 근거</w:t>
      </w:r>
    </w:p>
    <w:p>
      <w:pPr>
        <w:pStyle w:val="Source"/>
      </w:pPr>
      <w:r>
        <w:t xml:space="preserve">[6] Vaccaro 외, 인간–AI 협업 메타분석, Nature Human Behaviour (2024).  </w:t>
      </w:r>
      <w:hyperlink r:id="rId17">
        <w:r>
          <w:rPr>
            <w:color w:val="566661"/>
            <w:rFonts w:ascii="Noto Sans CJK KR" w:hAnsi="Noto Sans CJK KR" w:eastAsia="Noto Sans CJK KR" w:cs="Noto Sans CJK KR"/>
          </w:rPr>
          <w:t>doi.org/10.1038/s41562-024-02024-1</w:t>
        </w:r>
      </w:hyperlink>
    </w:p>
    <w:p>
      <w:pPr>
        <w:pStyle w:val="Small"/>
      </w:pPr>
      <w:r>
        <w:t>2020~2023년 출판 연구 106개 실험의 분석입니다. 현재 영상 모델의 결론으로 일반화하지 않으며, 사람 개입의 시점·공수·효과를 따로 보아야 한다는 참고로 사용합니다.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06" w:bottom="992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94" w:val="right"/>
      </w:tabs>
      <w:pBdr>
        <w:top w:val="single" w:sz="4" w:color="CFD9D4" w:space="5"/>
      </w:pBdr>
    </w:pPr>
    <w:r>
      <w:t>AI 영상 기획·제작 스킬 시스템</w:t>
    </w:r>
    <w:r>
      <w:tab/>
    </w:r>
    <w:r/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94" w:val="right"/>
      </w:tabs>
      <w:pBdr>
        <w:bottom w:val="single" w:sz="4" w:color="CFD9D4" w:space="5"/>
      </w:pBdr>
    </w:pPr>
    <w:r>
      <w:t>디자인팀  |  경영진 검토자료</w:t>
    </w:r>
    <w:r>
      <w:tab/>
      <w:t>2026.10.06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  <w:autoSpaceDE w:val="0"/>
      <w:autoSpaceDN w:val="0"/>
    </w:pPr>
    <w:rPr>
      <w:rFonts w:ascii="Noto Sans CJK KR" w:hAnsi="Noto Sans CJK KR" w:eastAsia="Noto Sans CJK KR" w:cs="Noto Sans CJK KR"/>
      <w:b w:val="0"/>
      <w:color w:val="202C2A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  <w:autoSpaceDE w:val="0"/>
      <w:autoSpaceDN w:val="0"/>
    </w:pPr>
    <w:rPr>
      <w:rFonts w:ascii="Noto Sans CJK KR" w:hAnsi="Noto Sans CJK KR" w:eastAsia="Noto Sans CJK KR" w:cs="Noto Sans CJK KR"/>
      <w:b w:val="0"/>
      <w:color w:val="566661"/>
      <w:sz w:val="16"/>
      <w:lang w:val="ko-KR"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  <w:autoSpaceDE w:val="0"/>
      <w:autoSpaceDN w:val="0"/>
    </w:pPr>
    <w:rPr>
      <w:rFonts w:ascii="Noto Sans CJK KR" w:hAnsi="Noto Sans CJK KR" w:eastAsia="Noto Sans CJK KR" w:cs="Noto Sans CJK KR"/>
      <w:b w:val="0"/>
      <w:color w:val="566661"/>
      <w:sz w:val="16"/>
      <w:lang w:val="ko-KR"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  <w:autoSpaceDE w:val="0"/>
      <w:autoSpaceDN w:val="0"/>
    </w:pPr>
    <w:rPr>
      <w:rFonts w:ascii="Noto Sans CJK KR" w:hAnsi="Noto Sans CJK KR" w:eastAsia="Noto Sans CJK KR" w:cs="Noto Sans CJK KR"/>
      <w:b/>
      <w:bCs/>
      <w:color w:val="0F4F4C"/>
      <w:sz w:val="40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  <w:autoSpaceDE w:val="0"/>
      <w:autoSpaceDN w:val="0"/>
    </w:pPr>
    <w:rPr>
      <w:rFonts w:ascii="Noto Sans CJK KR" w:hAnsi="Noto Sans CJK KR" w:eastAsia="Noto Sans CJK KR" w:cs="Noto Sans CJK KR"/>
      <w:b/>
      <w:bCs/>
      <w:color w:val="0F4F4C"/>
      <w:sz w:val="24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  <w:autoSpaceDE w:val="0"/>
      <w:autoSpaceDN w:val="0"/>
    </w:pPr>
    <w:rPr>
      <w:rFonts w:ascii="Noto Sans CJK KR" w:hAnsi="Noto Sans CJK KR" w:eastAsia="Noto Sans CJK KR" w:cs="Noto Sans CJK KR"/>
      <w:b/>
      <w:bCs/>
      <w:color w:val="937047"/>
      <w:sz w:val="21"/>
      <w:lang w:val="ko-KR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autoSpaceDE w:val="0"/>
      <w:autoSpaceDN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autoSpaceDE w:val="0"/>
      <w:autoSpaceDN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autoSpaceDE w:val="0"/>
      <w:autoSpaceDN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autoSpaceDE w:val="0"/>
      <w:autoSpaceDN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autoSpaceDE w:val="0"/>
      <w:autoSpaceDN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autoSpaceDE w:val="0"/>
      <w:autoSpaceDN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autoSpaceDE w:val="0"/>
      <w:autoSpaceDN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0"/>
      <w:contextualSpacing/>
      <w:autoSpaceDE w:val="0"/>
      <w:autoSpaceDN w:val="0"/>
    </w:pPr>
    <w:rPr>
      <w:rFonts w:ascii="Noto Sans CJK KR" w:hAnsi="Noto Sans CJK KR" w:eastAsia="Noto Sans CJK KR" w:cs="Noto Sans CJK KR"/>
      <w:b/>
      <w:color w:val="0F4F4C"/>
      <w:spacing w:val="5"/>
      <w:kern w:val="28"/>
      <w:sz w:val="52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autoSpaceDE w:val="0"/>
      <w:autoSpaceDN w:val="0"/>
    </w:pPr>
    <w:rPr>
      <w:rFonts w:ascii="Noto Sans CJK KR" w:hAnsi="Noto Sans CJK KR" w:eastAsia="Noto Sans CJK KR" w:cs="Noto Sans CJK KR"/>
      <w:b w:val="0"/>
      <w:i/>
      <w:iCs/>
      <w:color w:val="202C2A"/>
      <w:spacing w:val="15"/>
      <w:sz w:val="22"/>
      <w:szCs w:val="24"/>
      <w:lang w:val="ko-KR"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autoSpaceDE w:val="0"/>
      <w:autoSpaceDN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autoSpaceDE w:val="0"/>
      <w:autoSpaceDN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autoSpaceDE w:val="0"/>
      <w:autoSpaceDN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autoSpaceDE w:val="0"/>
      <w:autoSpaceDN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autoSpaceDE w:val="0"/>
      <w:autoSpaceDN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autoSpaceDE w:val="0"/>
      <w:autoSpaceDN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autoSpaceDE w:val="0"/>
      <w:autoSpaceDN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autoSpaceDE w:val="0"/>
      <w:autoSpaceDN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autoSpaceDE w:val="0"/>
      <w:autoSpaceDN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autoSpaceDE w:val="0"/>
      <w:autoSpaceDN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autoSpaceDE w:val="0"/>
      <w:autoSpaceDN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autoSpaceDE w:val="0"/>
      <w:autoSpaceDN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autoSpaceDE w:val="0"/>
      <w:autoSpaceDN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autoSpaceDE w:val="0"/>
      <w:autoSpaceDN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autoSpaceDE w:val="0"/>
      <w:autoSpaceDN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autoSpaceDE w:val="0"/>
      <w:autoSpaceDN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autoSpaceDE w:val="0"/>
      <w:autoSpaceDN w:val="0"/>
    </w:pPr>
    <w:rPr>
      <w:rFonts w:ascii="Noto Sans CJK KR" w:hAnsi="Noto Sans CJK KR" w:eastAsia="Noto Sans CJK KR" w:cs="Noto Sans CJK KR"/>
      <w:b w:val="0"/>
      <w:bCs/>
      <w:color w:val="202C2A"/>
      <w:sz w:val="22"/>
      <w:szCs w:val="18"/>
      <w:lang w:val="ko-KR" w:eastAsia="ko-K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autoSpaceDE w:val="0"/>
      <w:autoSpaceDN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autoSpaceDE w:val="0"/>
      <w:autoSpaceDN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pPr>
      <w:widowControl/>
      <w:spacing w:line="307" w:lineRule="auto" w:after="140"/>
      <w:autoSpaceDE w:val="0"/>
      <w:autoSpaceDN w:val="0"/>
    </w:pPr>
    <w:rPr>
      <w:rFonts w:ascii="Noto Sans CJK KR" w:hAnsi="Noto Sans CJK KR" w:eastAsia="Noto Sans CJK KR" w:cs="Noto Sans CJK KR"/>
      <w:b/>
      <w:color w:val="937047"/>
      <w:sz w:val="18"/>
      <w:lang w:val="ko-KR" w:eastAsia="ko-KR"/>
    </w:rPr>
  </w:style>
  <w:style w:type="paragraph" w:customStyle="1" w:styleId="Lead">
    <w:name w:val="Lead"/>
    <w:basedOn w:val="Normal"/>
    <w:pPr>
      <w:widowControl/>
      <w:spacing w:line="341" w:lineRule="auto" w:after="180"/>
      <w:autoSpaceDE w:val="0"/>
      <w:autoSpaceDN w:val="0"/>
    </w:pPr>
    <w:rPr>
      <w:rFonts w:ascii="Noto Sans CJK KR" w:hAnsi="Noto Sans CJK KR" w:eastAsia="Noto Sans CJK KR" w:cs="Noto Sans CJK KR"/>
      <w:b w:val="0"/>
      <w:color w:val="0F4F4C"/>
      <w:sz w:val="24"/>
      <w:lang w:val="ko-KR" w:eastAsia="ko-KR"/>
    </w:rPr>
  </w:style>
  <w:style w:type="paragraph" w:customStyle="1" w:styleId="Small">
    <w:name w:val="Small"/>
    <w:basedOn w:val="Normal"/>
    <w:pPr>
      <w:widowControl/>
      <w:spacing w:line="300" w:lineRule="auto" w:after="80"/>
      <w:autoSpaceDE w:val="0"/>
      <w:autoSpaceDN w:val="0"/>
    </w:pPr>
    <w:rPr>
      <w:rFonts w:ascii="Noto Sans CJK KR" w:hAnsi="Noto Sans CJK KR" w:eastAsia="Noto Sans CJK KR" w:cs="Noto Sans CJK KR"/>
      <w:b w:val="0"/>
      <w:color w:val="566661"/>
      <w:sz w:val="18"/>
      <w:lang w:val="ko-KR" w:eastAsia="ko-KR"/>
    </w:rPr>
  </w:style>
  <w:style w:type="paragraph" w:customStyle="1" w:styleId="TableText">
    <w:name w:val="TableText"/>
    <w:basedOn w:val="Normal"/>
    <w:pPr>
      <w:widowControl/>
      <w:spacing w:line="298" w:lineRule="auto" w:after="20"/>
      <w:autoSpaceDE w:val="0"/>
      <w:autoSpaceDN w:val="0"/>
    </w:pPr>
    <w:rPr>
      <w:rFonts w:ascii="Noto Sans CJK KR" w:hAnsi="Noto Sans CJK KR" w:eastAsia="Noto Sans CJK KR" w:cs="Noto Sans CJK KR"/>
      <w:b w:val="0"/>
      <w:color w:val="202C2A"/>
      <w:sz w:val="20"/>
      <w:lang w:val="ko-KR" w:eastAsia="ko-KR"/>
    </w:rPr>
  </w:style>
  <w:style w:type="paragraph" w:customStyle="1" w:styleId="TableHead">
    <w:name w:val="TableHead"/>
    <w:basedOn w:val="Normal"/>
    <w:pPr>
      <w:widowControl/>
      <w:spacing w:line="307" w:lineRule="auto" w:after="0"/>
      <w:autoSpaceDE w:val="0"/>
      <w:autoSpaceDN w:val="0"/>
    </w:pPr>
    <w:rPr>
      <w:rFonts w:ascii="Noto Sans CJK KR" w:hAnsi="Noto Sans CJK KR" w:eastAsia="Noto Sans CJK KR" w:cs="Noto Sans CJK KR"/>
      <w:b/>
      <w:color w:val="FFFFFF"/>
      <w:sz w:val="19"/>
      <w:lang w:val="ko-KR" w:eastAsia="ko-KR"/>
    </w:rPr>
  </w:style>
  <w:style w:type="paragraph" w:customStyle="1" w:styleId="Source">
    <w:name w:val="Source"/>
    <w:basedOn w:val="Normal"/>
    <w:pPr>
      <w:widowControl/>
      <w:spacing w:line="276" w:lineRule="auto" w:after="40"/>
      <w:autoSpaceDE w:val="0"/>
      <w:autoSpaceDN w:val="0"/>
    </w:pPr>
    <w:rPr>
      <w:rFonts w:ascii="Noto Sans CJK KR" w:hAnsi="Noto Sans CJK KR" w:eastAsia="Noto Sans CJK KR" w:cs="Noto Sans CJK KR"/>
      <w:b w:val="0"/>
      <w:color w:val="566661"/>
      <w:sz w:val="16"/>
      <w:lang w:val="ko-KR" w:eastAsia="ko-KR"/>
    </w:rPr>
  </w:style>
  <w:style w:type="paragraph" w:customStyle="1" w:styleId="Placeholder">
    <w:name w:val="Placeholder"/>
    <w:basedOn w:val="Normal"/>
    <w:pPr>
      <w:widowControl/>
      <w:spacing w:line="307" w:lineRule="auto" w:after="80"/>
      <w:autoSpaceDE w:val="0"/>
      <w:autoSpaceDN w:val="0"/>
    </w:pPr>
    <w:rPr>
      <w:rFonts w:ascii="Noto Sans CJK KR" w:hAnsi="Noto Sans CJK KR" w:eastAsia="Noto Sans CJK KR" w:cs="Noto Sans CJK KR"/>
      <w:b w:val="0"/>
      <w:color w:val="566661"/>
      <w:sz w:val="18"/>
      <w:lang w:val="ko-KR" w:eastAsia="ko-KR"/>
    </w:rPr>
  </w:style>
  <w:style w:type="paragraph" w:customStyle="1" w:styleId="Endline">
    <w:name w:val="Endline"/>
    <w:basedOn w:val="Normal"/>
    <w:pPr>
      <w:widowControl/>
      <w:spacing w:line="307" w:lineRule="auto" w:after="80"/>
      <w:autoSpaceDE w:val="0"/>
      <w:autoSpaceDN w:val="0"/>
    </w:pPr>
    <w:rPr>
      <w:rFonts w:ascii="Noto Sans CJK KR" w:hAnsi="Noto Sans CJK KR" w:eastAsia="Noto Sans CJK KR" w:cs="Noto Sans CJK KR"/>
      <w:b/>
      <w:color w:val="0F4F4C"/>
      <w:sz w:val="22"/>
      <w:lang w:val="ko-KR" w:eastAsia="ko-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ai.stanford.edu/ai-index/2026-ai-index-report" TargetMode="External"/><Relationship Id="rId12" Type="http://schemas.openxmlformats.org/officeDocument/2006/relationships/hyperlink" Target="https://business.adobe.com/products/genstudio-for-performance-marketing.html" TargetMode="External"/><Relationship Id="rId13" Type="http://schemas.openxmlformats.org/officeDocument/2006/relationships/hyperlink" Target="https://toss.tech/article/ai-graphic-generator-1" TargetMode="External"/><Relationship Id="rId14" Type="http://schemas.openxmlformats.org/officeDocument/2006/relationships/hyperlink" Target="https://toss.tech/article/ai-graphic-generator-2" TargetMode="External"/><Relationship Id="rId15" Type="http://schemas.openxmlformats.org/officeDocument/2006/relationships/hyperlink" Target="https://doi.org/10.1287/orsc.2025.20702" TargetMode="External"/><Relationship Id="rId16" Type="http://schemas.openxmlformats.org/officeDocument/2006/relationships/hyperlink" Target="https://doi.org/10.1287/orsc.2025.21838" TargetMode="External"/><Relationship Id="rId17" Type="http://schemas.openxmlformats.org/officeDocument/2006/relationships/hyperlink" Target="https://doi.org/10.1038/s41562-024-02024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KR"/>
        <a:ea typeface="Noto Sans CJK KR"/>
        <a:cs typeface=""/>
        <a:font script="Jpan" typeface="ＭＳ ゴシック"/>
        <a:font script="Hang" typeface="Noto Sans CJK KR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Noto Sans CJK KR"/>
        <a:ea typeface="Noto Sans CJK KR"/>
        <a:cs typeface=""/>
        <a:font script="Jpan" typeface="ＭＳ 明朝"/>
        <a:font script="Hang" typeface="Noto Sans CJK KR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영상 기획·제작 스킬 시스템 | 경영진 검토자료</dc:title>
  <dc:subject>A4 배포용 · 제안, 근거, 제작 구조와 검증 계획</dc:subject>
  <dc:creator/>
  <cp:keywords>영상 기획, AI, 스킬, 디자인팀, 연구 제안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