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MICHAELMAS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The Personal </w:t>
      </w:r>
    </w:p>
    <w:p w:rsidR="00000000" w:rsidDel="00000000" w:rsidP="00000000" w:rsidRDefault="00000000" w:rsidRPr="00000000" w14:paraId="00000004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Personal and the Professional: Aid workers’ relationships and values in the development process Anne-Meike Fechter Introduction (2012). Third World Quarterly.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https://doi.org/10.1080/01436597.2012.698104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Settler development</w:t>
      </w:r>
    </w:p>
    <w:p w:rsidR="00000000" w:rsidDel="00000000" w:rsidP="00000000" w:rsidRDefault="00000000" w:rsidRPr="00000000" w14:paraId="00000007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"“It happened more than once”: Freezing deaths in Saskatchewan." Canadian Journal of Women and the Law 26, no. 1 (2014): 51-80.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https://heinonline.org/HOL/P?h=hein.journals/cajwol26&amp;i=63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Queering development</w:t>
      </w:r>
    </w:p>
    <w:p w:rsidR="00000000" w:rsidDel="00000000" w:rsidP="00000000" w:rsidRDefault="00000000" w:rsidRPr="00000000" w14:paraId="0000000A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Klapeer, C. M. (2018). Queering Development in Homotransnationalist Times: A Postcolonial Reading of LGBTIQ Inclusive Development Agendas. Lambda Nordica, 22(2-3), 41-67.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highlight w:val="white"/>
            <w:u w:val="single"/>
            <w:rtl w:val="0"/>
          </w:rPr>
          <w:t xml:space="preserve">http://www.lambdanordica.org/index.php/lambdanordica/article/view/514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Entrepreneurship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ind w:left="1530" w:firstLine="0"/>
        <w:rPr>
          <w:rFonts w:ascii="Lato" w:cs="Lato" w:eastAsia="Lato" w:hAnsi="Lato"/>
          <w:sz w:val="22"/>
          <w:szCs w:val="22"/>
        </w:rPr>
      </w:pPr>
      <w:bookmarkStart w:colFirst="0" w:colLast="0" w:name="_s9ceqlqjofix" w:id="0"/>
      <w:bookmarkEnd w:id="0"/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Old Concepts Making New History: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Refugee Self-reliance, Livelihoods and the ‘Refugee Entrepreneur’, Journal of Refugee Studies, Volume 33, Issue 1, March 2020, Pages 1–21,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2"/>
            <w:szCs w:val="22"/>
            <w:u w:val="single"/>
            <w:rtl w:val="0"/>
          </w:rPr>
          <w:t xml:space="preserve">https://doi.org/10.1093/jrs/fez061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War &amp; Peace </w:t>
      </w:r>
    </w:p>
    <w:p w:rsidR="00000000" w:rsidDel="00000000" w:rsidP="00000000" w:rsidRDefault="00000000" w:rsidRPr="00000000" w14:paraId="00000010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"Sexual exploitation and abuse in peace operations: trends, policy responses and future directions." International Affairs 93, no. 2 (2017): 365-387.</w:t>
      </w:r>
    </w:p>
    <w:p w:rsidR="00000000" w:rsidDel="00000000" w:rsidP="00000000" w:rsidRDefault="00000000" w:rsidRPr="00000000" w14:paraId="00000011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Mobility</w:t>
      </w:r>
    </w:p>
    <w:p w:rsidR="00000000" w:rsidDel="00000000" w:rsidP="00000000" w:rsidRDefault="00000000" w:rsidRPr="00000000" w14:paraId="00000013">
      <w:pPr>
        <w:ind w:left="1440" w:firstLine="0"/>
        <w:rPr>
          <w:rFonts w:ascii="Lato" w:cs="Lato" w:eastAsia="Lato" w:hAnsi="Lato"/>
          <w:color w:val="006db4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Dunckel-Graglia, Amy. "‘Pink transportation’in Mexico City: reclaiming urban space through collective action against gender-based violence." Gender &amp; Development 21, no. 2 (2013): 265-276. </w:t>
      </w:r>
      <w:hyperlink r:id="rId1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https://doi.org/10.1080/13552074.2013.802131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Vulnerability</w:t>
      </w:r>
    </w:p>
    <w:p w:rsidR="00000000" w:rsidDel="00000000" w:rsidP="00000000" w:rsidRDefault="00000000" w:rsidRPr="00000000" w14:paraId="00000017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Cole, A. (2016). All of Us Are Vulnerable, But Some Are More Vulnerable than Others: The Political Ambiguity of Vulnerability Studies, an Ambivalent Critique. Critical Horizons, 17(2), 260–277. </w:t>
      </w:r>
      <w:hyperlink r:id="rId1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https://doi.org/10.1080/14409917.2016.1153896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Education (term wrap up)</w:t>
      </w:r>
    </w:p>
    <w:p w:rsidR="00000000" w:rsidDel="00000000" w:rsidP="00000000" w:rsidRDefault="00000000" w:rsidRPr="00000000" w14:paraId="0000001A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Branch, Adam. "Decolonizing the African studies centre." The Cambridge Journal of Anthropology 36, no. 2 (2018): 73-91. (</w:t>
      </w:r>
      <w:hyperlink r:id="rId12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https://www.repository.cam.ac.uk/bitstream/handle/1810/287884/Branch%20-%20Decolonizing%20African%20Studies%20Centres%20-%20CJA%202018.pdf?sequence=1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LENT </w:t>
      </w:r>
    </w:p>
    <w:p w:rsidR="00000000" w:rsidDel="00000000" w:rsidP="00000000" w:rsidRDefault="00000000" w:rsidRPr="00000000" w14:paraId="0000001E">
      <w:pPr>
        <w:ind w:left="0" w:firstLine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Representation</w:t>
      </w:r>
      <w:r w:rsidDel="00000000" w:rsidR="00000000" w:rsidRPr="00000000">
        <w:rPr>
          <w:rFonts w:ascii="Lato" w:cs="Lato" w:eastAsia="Lato" w:hAnsi="Lato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ind w:left="1440" w:firstLine="0"/>
        <w:rPr>
          <w:rFonts w:ascii="Lato" w:cs="Lato" w:eastAsia="Lato" w:hAnsi="Lato"/>
          <w:highlight w:val="white"/>
        </w:rPr>
      </w:pPr>
      <w:r w:rsidDel="00000000" w:rsidR="00000000" w:rsidRPr="00000000">
        <w:rPr>
          <w:rFonts w:ascii="Lato" w:cs="Lato" w:eastAsia="Lato" w:hAnsi="Lato"/>
          <w:highlight w:val="white"/>
          <w:rtl w:val="0"/>
        </w:rPr>
        <w:t xml:space="preserve">Spivak, G. C. (1988) ‘Can the Subaltern Speak?’. In Nelson, C. and Grossberg, L. (eds) Marxism and the Interpretation of Culture. London: Macmillan Education, pp. 271–313 (</w:t>
      </w:r>
      <w:hyperlink r:id="rId13">
        <w:r w:rsidDel="00000000" w:rsidR="00000000" w:rsidRPr="00000000">
          <w:rPr>
            <w:rFonts w:ascii="Lato" w:cs="Lato" w:eastAsia="Lato" w:hAnsi="Lato"/>
            <w:color w:val="1155cc"/>
            <w:highlight w:val="white"/>
            <w:u w:val="single"/>
            <w:rtl w:val="0"/>
          </w:rPr>
          <w:t xml:space="preserve">http://users.uoa.gr/~cdokou/TheoryCriticismTexts/Spivak-Subaltern.pdf</w:t>
        </w:r>
      </w:hyperlink>
      <w:r w:rsidDel="00000000" w:rsidR="00000000" w:rsidRPr="00000000">
        <w:rPr>
          <w:rFonts w:ascii="Lato" w:cs="Lato" w:eastAsia="Lato" w:hAnsi="Lato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Feminist Economics</w:t>
      </w:r>
    </w:p>
    <w:p w:rsidR="00000000" w:rsidDel="00000000" w:rsidP="00000000" w:rsidRDefault="00000000" w:rsidRPr="00000000" w14:paraId="00000023">
      <w:pPr>
        <w:ind w:left="1440" w:firstLine="0"/>
        <w:rPr>
          <w:rFonts w:ascii="Lato" w:cs="Lato" w:eastAsia="Lato" w:hAnsi="Lato"/>
          <w:color w:val="006db4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Elisabeth Prügl (2017) Neoliberalism with a Feminist Face: Crafting a new Hegemony at the World Bank, Feminist Economics, 23:1, 30-53, </w:t>
      </w:r>
      <w:hyperlink r:id="rId14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https://doi.org/10.1080/13545701.2016.1198043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Corneliu Bjola (2021): AI for development: implications for theory and practice, Oxford Development Studies, </w:t>
      </w:r>
      <w:hyperlink r:id="rId15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https://doi.org/10.1080/13600818.2021.1960960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Climate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Lato" w:cs="Lato" w:eastAsia="Lato" w:hAnsi="Lato"/>
          <w:color w:val="2222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Taylor, M., &amp; Bhasme, S. (2020). Between deficit rains and surplus populations: The political ecology of a climate-resilient village in South India.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Geoforum</w:t>
      </w:r>
      <w:r w:rsidDel="00000000" w:rsidR="00000000" w:rsidRPr="00000000">
        <w:rPr>
          <w:rFonts w:ascii="Lato" w:cs="Lato" w:eastAsia="Lato" w:hAnsi="Lato"/>
          <w:rtl w:val="0"/>
        </w:rPr>
        <w:t xml:space="preserve">. </w:t>
      </w:r>
      <w:r w:rsidDel="00000000" w:rsidR="00000000" w:rsidRPr="00000000">
        <w:rPr>
          <w:rFonts w:ascii="Lato" w:cs="Lato" w:eastAsia="Lato" w:hAnsi="Lato"/>
          <w:color w:val="1155cc"/>
          <w:u w:val="single"/>
          <w:rtl w:val="0"/>
        </w:rPr>
        <w:t xml:space="preserve">https://doi.org/https://doi.org/10.1016/j.geoforum.2020.01.007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Lato" w:cs="Lato" w:eastAsia="Lato" w:hAnsi="Lato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color w:val="222222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highlight w:val="white"/>
          <w:rtl w:val="0"/>
        </w:rPr>
        <w:t xml:space="preserve">Religion:</w:t>
      </w:r>
    </w:p>
    <w:p w:rsidR="00000000" w:rsidDel="00000000" w:rsidP="00000000" w:rsidRDefault="00000000" w:rsidRPr="00000000" w14:paraId="0000002E">
      <w:pPr>
        <w:ind w:left="1440" w:firstLine="0"/>
        <w:rPr>
          <w:rFonts w:ascii="Lato" w:cs="Lato" w:eastAsia="Lato" w:hAnsi="Lato"/>
          <w:color w:val="222222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highlight w:val="white"/>
          <w:rtl w:val="0"/>
        </w:rPr>
        <w:t xml:space="preserve">Rudnyckyj, Daromir. "Market Islam in Indonesia." </w:t>
      </w:r>
      <w:r w:rsidDel="00000000" w:rsidR="00000000" w:rsidRPr="00000000">
        <w:rPr>
          <w:rFonts w:ascii="Lato" w:cs="Lato" w:eastAsia="Lato" w:hAnsi="Lato"/>
          <w:i w:val="1"/>
          <w:color w:val="222222"/>
          <w:highlight w:val="white"/>
          <w:rtl w:val="0"/>
        </w:rPr>
        <w:t xml:space="preserve">Journal of the Royal Anthropological Institute</w:t>
      </w:r>
      <w:r w:rsidDel="00000000" w:rsidR="00000000" w:rsidRPr="00000000">
        <w:rPr>
          <w:rFonts w:ascii="Lato" w:cs="Lato" w:eastAsia="Lato" w:hAnsi="Lato"/>
          <w:color w:val="222222"/>
          <w:highlight w:val="white"/>
          <w:rtl w:val="0"/>
        </w:rPr>
        <w:t xml:space="preserve"> 15 (2009): S183-S201. </w:t>
      </w:r>
      <w:r w:rsidDel="00000000" w:rsidR="00000000" w:rsidRPr="00000000">
        <w:rPr>
          <w:rFonts w:ascii="Open Sans" w:cs="Open Sans" w:eastAsia="Open Sans" w:hAnsi="Open Sans"/>
          <w:color w:val="767676"/>
          <w:sz w:val="21"/>
          <w:szCs w:val="21"/>
          <w:highlight w:val="white"/>
          <w:rtl w:val="0"/>
        </w:rPr>
        <w:t xml:space="preserve"> </w:t>
      </w:r>
      <w:hyperlink r:id="rId16">
        <w:r w:rsidDel="00000000" w:rsidR="00000000" w:rsidRPr="00000000">
          <w:rPr>
            <w:rFonts w:ascii="Lato" w:cs="Lato" w:eastAsia="Lato" w:hAnsi="Lato"/>
            <w:color w:val="1155cc"/>
            <w:highlight w:val="white"/>
            <w:u w:val="single"/>
            <w:rtl w:val="0"/>
          </w:rPr>
          <w:t xml:space="preserve">https://doi.org/10.1111/j.1467-9655.2009.01549.x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Lato" w:cs="Lato" w:eastAsia="Lato" w:hAnsi="La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Care Labours: </w:t>
      </w:r>
    </w:p>
    <w:p w:rsidR="00000000" w:rsidDel="00000000" w:rsidP="00000000" w:rsidRDefault="00000000" w:rsidRPr="00000000" w14:paraId="00000031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Briggs, Laura. "Foreign and domestic: Adoption, immigration, and privatization," in Intimate labors: Cultures, technologies, and the politics of care (2010): 49-62. (iDiscover: </w:t>
      </w:r>
      <w:hyperlink r:id="rId1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https://ebookcentral.proquest.com/lib/cam/detail.action?docID=683243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color w:val="222222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highlight w:val="white"/>
          <w:rtl w:val="0"/>
        </w:rPr>
        <w:t xml:space="preserve">Public Surveillance / Security </w:t>
      </w:r>
    </w:p>
    <w:p w:rsidR="00000000" w:rsidDel="00000000" w:rsidP="00000000" w:rsidRDefault="00000000" w:rsidRPr="00000000" w14:paraId="00000034">
      <w:pPr>
        <w:ind w:left="1440" w:firstLine="0"/>
        <w:rPr>
          <w:rFonts w:ascii="Lato" w:cs="Lato" w:eastAsia="Lato" w:hAnsi="Lato"/>
          <w:color w:val="006db4"/>
        </w:rPr>
      </w:pPr>
      <w:r w:rsidDel="00000000" w:rsidR="00000000" w:rsidRPr="00000000">
        <w:rPr>
          <w:rFonts w:ascii="Lato" w:cs="Lato" w:eastAsia="Lato" w:hAnsi="Lato"/>
          <w:color w:val="222222"/>
          <w:rtl w:val="0"/>
        </w:rPr>
        <w:t xml:space="preserve">Okech, Awino. “Boundary anxieties and infrastructures of violence: Somali identity in post-Westgate Kenya.” Third World Thematics: A TWQ Journal 3, no. 2 (2018): 293-309.</w:t>
      </w:r>
      <w:hyperlink r:id="rId1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https://doi.org/10.1080/23802014.2018.1502048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rFonts w:ascii="Lato" w:cs="Lato" w:eastAsia="Lato" w:hAnsi="Lat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rFonts w:ascii="Lato" w:cs="Lato" w:eastAsia="Lato" w:hAnsi="Lat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color w:val="222222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highlight w:val="white"/>
          <w:rtl w:val="0"/>
        </w:rPr>
        <w:t xml:space="preserve">Techno-Aid</w:t>
      </w:r>
    </w:p>
    <w:p w:rsidR="00000000" w:rsidDel="00000000" w:rsidP="00000000" w:rsidRDefault="00000000" w:rsidRPr="00000000" w14:paraId="00000038">
      <w:pPr>
        <w:ind w:left="1440" w:firstLine="0"/>
        <w:rPr>
          <w:rFonts w:ascii="Lato" w:cs="Lato" w:eastAsia="Lato" w:hAnsi="Lato"/>
          <w:color w:val="006db4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Iazzolino, Gianluca. "Infrastructure of compassionate repression: making sense of biometrics in Kakuma refugee camp." Information Technology for Development 27, no. 1 (2021): 111-128. </w:t>
      </w:r>
      <w:hyperlink r:id="rId2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https://doi.org/10.1080/02681102.2020.1816881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i.org/10.1080/02681102.2020.1816881" TargetMode="External"/><Relationship Id="rId11" Type="http://schemas.openxmlformats.org/officeDocument/2006/relationships/hyperlink" Target="https://doi.org/10.1080/14409917.2016.1153896" TargetMode="External"/><Relationship Id="rId10" Type="http://schemas.openxmlformats.org/officeDocument/2006/relationships/hyperlink" Target="https://doi.org/10.1080/13552074.2013.802131" TargetMode="External"/><Relationship Id="rId13" Type="http://schemas.openxmlformats.org/officeDocument/2006/relationships/hyperlink" Target="http://users.uoa.gr/~cdokou/TheoryCriticismTexts/Spivak-Subaltern.pdf" TargetMode="External"/><Relationship Id="rId12" Type="http://schemas.openxmlformats.org/officeDocument/2006/relationships/hyperlink" Target="https://www.repository.cam.ac.uk/bitstream/handle/1810/287884/Branch%20-%20Decolonizing%20African%20Studies%20Centres%20-%20CJA%202018.pdf?sequence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093/jrs/fez061" TargetMode="External"/><Relationship Id="rId15" Type="http://schemas.openxmlformats.org/officeDocument/2006/relationships/hyperlink" Target="https://doi.org/10.1080/13600818.2021.1960960" TargetMode="External"/><Relationship Id="rId14" Type="http://schemas.openxmlformats.org/officeDocument/2006/relationships/hyperlink" Target="https://doi.org/10.1080/13545701.2016.1198043" TargetMode="External"/><Relationship Id="rId17" Type="http://schemas.openxmlformats.org/officeDocument/2006/relationships/hyperlink" Target="https://ebookcentral.proquest.com/lib/cam/detail.action?docID=683243" TargetMode="External"/><Relationship Id="rId16" Type="http://schemas.openxmlformats.org/officeDocument/2006/relationships/hyperlink" Target="https://doi.org/10.1111/j.1467-9655.2009.01549.x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i.org/10.1080/23802014.2018.1502048" TargetMode="External"/><Relationship Id="rId6" Type="http://schemas.openxmlformats.org/officeDocument/2006/relationships/hyperlink" Target="https://doi.org/10.1080/01436597.2012.698104" TargetMode="External"/><Relationship Id="rId18" Type="http://schemas.openxmlformats.org/officeDocument/2006/relationships/hyperlink" Target="https://doi.org/10.1080/23802014.2018.1502048" TargetMode="External"/><Relationship Id="rId7" Type="http://schemas.openxmlformats.org/officeDocument/2006/relationships/hyperlink" Target="https://heinonline.org/HOL/P?h=hein.journals/cajwol26&amp;i=63" TargetMode="External"/><Relationship Id="rId8" Type="http://schemas.openxmlformats.org/officeDocument/2006/relationships/hyperlink" Target="http://www.lambdanordica.org/index.php/lambdanordica/article/view/5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