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information (on algorithms, data / control flow, etc) as applicable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the user flow for a farmer who uses the bot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58863" cy="186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8863" cy="186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Above flow can be easily viewed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https://coggle.it/diagram/YsBsN7ndxQl8x-7Z/t/choose-language/7f61eb213cea5e0885842652aff1515c063bfbd44c61602d015a7095140b121a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ggle.it/diagram/YsBsN7ndxQl8x-7Z/t/choose-language/7f61eb213cea5e0885842652aff1515c063bfbd44c61602d015a7095140b12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