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Paper Title Goes Here</w:t>
      </w:r>
    </w:p>
    <w:p>
      <w:pPr>
        <w:pStyle w:val="PaperAuthor"/>
      </w:pPr>
      <w:r>
        <w:t>Author Name 1, Author Name 2</w:t>
        <w:br/>
        <w:t>Institution Name</w:t>
        <w:br/>
        <w:t>author@email.com</w:t>
      </w:r>
    </w:p>
    <w:p>
      <w:pPr>
        <w:jc w:val="center"/>
      </w:pPr>
      <w:r>
        <w:rPr>
          <w:rFonts w:ascii="Times New Roman" w:hAnsi="Times New Roman"/>
          <w:b/>
          <w:sz w:val="18"/>
        </w:rPr>
        <w:t>Abstract</w:t>
      </w:r>
    </w:p>
    <w:p>
      <w:pPr>
        <w:spacing w:after="480"/>
        <w:ind w:left="720" w:right="720"/>
        <w:jc w:val="both"/>
      </w:pPr>
      <w:r>
        <w:rPr>
          <w:rFonts w:ascii="Times New Roman" w:hAnsi="Times New Roman"/>
          <w:i/>
          <w:sz w:val="18"/>
        </w:rPr>
        <w:t>This is the abstract of the paper. It should provide a concise summary of the research objectives, methodology, results, and conclusions. The abstract is typically written in a smaller font size and is fully justified. It is contained within the single-column span at the beginning of the document before the main text begins.</w:t>
      </w:r>
    </w:p>
    <w:p>
      <w:pPr>
        <w:sectPr>
          <w:pgSz w:w="12240" w:h="15840"/>
          <w:pgMar w:top="1440" w:right="1800" w:bottom="1440" w:left="1800" w:header="720" w:footer="720" w:gutter="0"/>
          <w:cols w:space="720"/>
          <w:docGrid w:linePitch="360"/>
        </w:sectPr>
      </w:pPr>
    </w:p>
    <w:p>
      <w:pPr>
        <w:pStyle w:val="Heading1"/>
      </w:pPr>
      <w:r>
        <w:t>I. INTRODUCTION</w:t>
      </w:r>
    </w:p>
    <w:p>
      <w:r>
        <w:t>This is the introduction section. Scientific papers usually follow a two-column format. By using a continuous section break, we can transition from the single-column abstract into this standard two-column body layout. The font size for the main body text is set to 10pt Times New Roman, which is standard across most major academic publishing templates, including IEEE and ACM.</w:t>
      </w:r>
    </w:p>
    <w:p>
      <w:r>
        <w:t>Additional paragraphs in the introduction continue here, flowing automatically down the first column and wrapping to the second column when the page is full.</w:t>
      </w:r>
    </w:p>
    <w:p>
      <w:pPr>
        <w:pStyle w:val="Heading1"/>
      </w:pPr>
      <w:r>
        <w:t>II. METHODOLOGY</w:t>
      </w:r>
    </w:p>
    <w:p>
      <w:r>
        <w:t>The methodology section describes the experimental design and procedures.</w:t>
      </w:r>
    </w:p>
    <w:p>
      <w:pPr>
        <w:pStyle w:val="Heading2"/>
      </w:pPr>
      <w:r>
        <w:t>A. First Subsection</w:t>
      </w:r>
    </w:p>
    <w:p>
      <w:r>
        <w:t>Subsections typically use an italicized header with standard numbering/lettering conventions.</w:t>
      </w:r>
    </w:p>
    <w:p>
      <w:pPr>
        <w:pStyle w:val="Heading1"/>
      </w:pPr>
      <w:r>
        <w:t>III. CONCLUSION</w:t>
      </w:r>
    </w:p>
    <w:p>
      <w:r>
        <w:t>The conclusion summarizes the findings and potential future work.</w:t>
      </w:r>
    </w:p>
    <w:sectPr w:rsidR="00FC693F" w:rsidRPr="0006063C" w:rsidSect="00034616">
      <w:type w:val="continuous"/>
      <w:pgSz w:w="12240" w:h="15840"/>
      <w:pgMar w:top="1440" w:right="1800" w:bottom="1440" w:left="1800" w:header="720" w:footer="720" w:gutter="0"/>
      <w:cols w:space="70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ap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Times New Roman" w:hAnsi="Times New Roman"/>
      <w:b/>
      <w:bCs/>
      <w:i/>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240"/>
      <w:jc w:val="center"/>
    </w:pPr>
    <w:rPr>
      <w:rFonts w:ascii="Times New Roman" w:hAnsi="Times New Roman"/>
      <w:b/>
      <w:sz w:val="28"/>
    </w:rPr>
  </w:style>
  <w:style w:type="paragraph" w:customStyle="1" w:styleId="PaperAuthor">
    <w:name w:val="PaperAuthor"/>
    <w:pPr>
      <w:spacing w:after="240"/>
      <w:jc w:val="center"/>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