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C80295" wp14:paraId="3BFEFB25" wp14:textId="6A485879">
      <w:pPr>
        <w:pStyle w:val="Title"/>
      </w:pPr>
      <w:r w:rsidRPr="6CC80295" w:rsidR="410B3E09">
        <w:rPr>
          <w:noProof w:val="0"/>
          <w:lang w:val="fr-FR"/>
        </w:rPr>
        <w:t>Dictionnaire de Données et Règles d'Intégrité</w:t>
      </w:r>
    </w:p>
    <w:p w:rsidR="6CC80295" w:rsidRDefault="6CC80295" w14:paraId="08D688B0" w14:textId="34B9AC2E">
      <w:r>
        <w:br w:type="page"/>
      </w:r>
    </w:p>
    <w:sdt>
      <w:sdtPr>
        <w:id w:val="1715594515"/>
        <w:docPartObj>
          <w:docPartGallery w:val="Table of Contents"/>
          <w:docPartUnique/>
        </w:docPartObj>
      </w:sdtPr>
      <w:sdtContent>
        <w:p w:rsidR="6CC80295" w:rsidP="6CC80295" w:rsidRDefault="6CC80295" w14:paraId="2C41F6E4" w14:textId="436CFAA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982018132">
            <w:r w:rsidRPr="6CC80295" w:rsidR="6CC80295">
              <w:rPr>
                <w:rStyle w:val="Hyperlink"/>
              </w:rPr>
              <w:t>1. Objectif de la Base de Données (BDD)</w:t>
            </w:r>
            <w:r>
              <w:tab/>
            </w:r>
            <w:r>
              <w:fldChar w:fldCharType="begin"/>
            </w:r>
            <w:r>
              <w:instrText xml:space="preserve">PAGEREF _Toc982018132 \h</w:instrText>
            </w:r>
            <w:r>
              <w:fldChar w:fldCharType="separate"/>
            </w:r>
            <w:r w:rsidRPr="6CC80295" w:rsidR="6CC8029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CC80295" w:rsidP="6CC80295" w:rsidRDefault="6CC80295" w14:paraId="5E1FBFC2" w14:textId="5E19A5E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71944301">
            <w:r w:rsidRPr="6CC80295" w:rsidR="6CC80295">
              <w:rPr>
                <w:rStyle w:val="Hyperlink"/>
              </w:rPr>
              <w:t>Objectif Principal</w:t>
            </w:r>
            <w:r>
              <w:tab/>
            </w:r>
            <w:r>
              <w:fldChar w:fldCharType="begin"/>
            </w:r>
            <w:r>
              <w:instrText xml:space="preserve">PAGEREF _Toc671944301 \h</w:instrText>
            </w:r>
            <w:r>
              <w:fldChar w:fldCharType="separate"/>
            </w:r>
            <w:r w:rsidRPr="6CC80295" w:rsidR="6CC802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CC80295" w:rsidP="6CC80295" w:rsidRDefault="6CC80295" w14:paraId="60233D86" w14:textId="446BF84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8875733">
            <w:r w:rsidRPr="6CC80295" w:rsidR="6CC80295">
              <w:rPr>
                <w:rStyle w:val="Hyperlink"/>
              </w:rPr>
              <w:t>Rôles Clés de la BDD</w:t>
            </w:r>
            <w:r>
              <w:tab/>
            </w:r>
            <w:r>
              <w:fldChar w:fldCharType="begin"/>
            </w:r>
            <w:r>
              <w:instrText xml:space="preserve">PAGEREF _Toc1768875733 \h</w:instrText>
            </w:r>
            <w:r>
              <w:fldChar w:fldCharType="separate"/>
            </w:r>
            <w:r w:rsidRPr="6CC80295" w:rsidR="6CC802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CC80295" w:rsidP="6CC80295" w:rsidRDefault="6CC80295" w14:paraId="729541D2" w14:textId="4DD3F12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15156955">
            <w:r w:rsidRPr="6CC80295" w:rsidR="6CC80295">
              <w:rPr>
                <w:rStyle w:val="Hyperlink"/>
              </w:rPr>
              <w:t>2. Liste des Données et Dictionnaire de Données</w:t>
            </w:r>
            <w:r>
              <w:tab/>
            </w:r>
            <w:r>
              <w:fldChar w:fldCharType="begin"/>
            </w:r>
            <w:r>
              <w:instrText xml:space="preserve">PAGEREF _Toc1315156955 \h</w:instrText>
            </w:r>
            <w:r>
              <w:fldChar w:fldCharType="separate"/>
            </w:r>
            <w:r w:rsidRPr="6CC80295" w:rsidR="6CC802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CC80295" w:rsidP="6CC80295" w:rsidRDefault="6CC80295" w14:paraId="7EF4CF1C" w14:textId="77C8868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24241990">
            <w:r w:rsidRPr="6CC80295" w:rsidR="6CC80295">
              <w:rPr>
                <w:rStyle w:val="Hyperlink"/>
              </w:rPr>
              <w:t>Entités Centrales et Sensibles</w:t>
            </w:r>
            <w:r>
              <w:tab/>
            </w:r>
            <w:r>
              <w:fldChar w:fldCharType="begin"/>
            </w:r>
            <w:r>
              <w:instrText xml:space="preserve">PAGEREF _Toc424241990 \h</w:instrText>
            </w:r>
            <w:r>
              <w:fldChar w:fldCharType="separate"/>
            </w:r>
            <w:r w:rsidRPr="6CC80295" w:rsidR="6CC8029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CC80295" w:rsidP="6CC80295" w:rsidRDefault="6CC80295" w14:paraId="483B0865" w14:textId="483F21D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14255538">
            <w:r w:rsidRPr="6CC80295" w:rsidR="6CC80295">
              <w:rPr>
                <w:rStyle w:val="Hyperlink"/>
              </w:rPr>
              <w:t>Entités de Gestion et Référentiels</w:t>
            </w:r>
            <w:r>
              <w:tab/>
            </w:r>
            <w:r>
              <w:fldChar w:fldCharType="begin"/>
            </w:r>
            <w:r>
              <w:instrText xml:space="preserve">PAGEREF _Toc414255538 \h</w:instrText>
            </w:r>
            <w:r>
              <w:fldChar w:fldCharType="separate"/>
            </w:r>
            <w:r w:rsidRPr="6CC80295" w:rsidR="6CC8029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CC80295" w:rsidP="6CC80295" w:rsidRDefault="6CC80295" w14:paraId="7C397CDF" w14:textId="427A58A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77844726">
            <w:r w:rsidRPr="6CC80295" w:rsidR="6CC80295">
              <w:rPr>
                <w:rStyle w:val="Hyperlink"/>
              </w:rPr>
              <w:t>3. Liste des Règles d’Intégrité et de Sécurité</w:t>
            </w:r>
            <w:r>
              <w:tab/>
            </w:r>
            <w:r>
              <w:fldChar w:fldCharType="begin"/>
            </w:r>
            <w:r>
              <w:instrText xml:space="preserve">PAGEREF _Toc677844726 \h</w:instrText>
            </w:r>
            <w:r>
              <w:fldChar w:fldCharType="separate"/>
            </w:r>
            <w:r w:rsidRPr="6CC80295" w:rsidR="6CC8029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CC80295" w:rsidP="6CC80295" w:rsidRDefault="6CC80295" w14:paraId="1F462B03" w14:textId="3A4B8C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1611361">
            <w:r w:rsidRPr="6CC80295" w:rsidR="6CC80295">
              <w:rPr>
                <w:rStyle w:val="Hyperlink"/>
              </w:rPr>
              <w:t>Règles d'Intégrité et de Gestion des Données</w:t>
            </w:r>
            <w:r>
              <w:tab/>
            </w:r>
            <w:r>
              <w:fldChar w:fldCharType="begin"/>
            </w:r>
            <w:r>
              <w:instrText xml:space="preserve">PAGEREF _Toc661611361 \h</w:instrText>
            </w:r>
            <w:r>
              <w:fldChar w:fldCharType="separate"/>
            </w:r>
            <w:r w:rsidRPr="6CC80295" w:rsidR="6CC80295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CC80295" w:rsidP="6CC80295" w:rsidRDefault="6CC80295" w14:paraId="39DB9038" w14:textId="66B26E35">
      <w:pPr>
        <w:pStyle w:val="Normal"/>
      </w:pPr>
    </w:p>
    <w:p w:rsidR="6CC80295" w:rsidRDefault="6CC80295" w14:paraId="0779D9B0" w14:textId="096253B8">
      <w:r>
        <w:br w:type="page"/>
      </w:r>
    </w:p>
    <w:p w:rsidR="3C785821" w:rsidP="6CC80295" w:rsidRDefault="3C785821" w14:paraId="77BDA9B2" w14:textId="5B8203D0">
      <w:pPr>
        <w:pStyle w:val="Heading1"/>
        <w:rPr>
          <w:noProof w:val="0"/>
          <w:lang w:val="fr-FR"/>
        </w:rPr>
      </w:pPr>
      <w:bookmarkStart w:name="_Toc982018132" w:id="1043007034"/>
      <w:r w:rsidRPr="6CC80295" w:rsidR="3C785821">
        <w:rPr>
          <w:noProof w:val="0"/>
          <w:lang w:val="fr-FR"/>
        </w:rPr>
        <w:t>1. Objectif de la Base de Données (BDD)</w:t>
      </w:r>
      <w:bookmarkEnd w:id="1043007034"/>
    </w:p>
    <w:p w:rsidR="3C785821" w:rsidP="6CC80295" w:rsidRDefault="3C785821" w14:paraId="4A3412A1" w14:textId="5B9FBB28">
      <w:pPr>
        <w:pStyle w:val="Heading2"/>
        <w:rPr>
          <w:noProof w:val="0"/>
          <w:lang w:val="fr-FR"/>
        </w:rPr>
      </w:pPr>
      <w:bookmarkStart w:name="_Toc671944301" w:id="732884859"/>
      <w:r w:rsidRPr="6CC80295" w:rsidR="3C785821">
        <w:rPr>
          <w:noProof w:val="0"/>
          <w:lang w:val="fr-FR"/>
        </w:rPr>
        <w:t>Objectif Principal</w:t>
      </w:r>
      <w:bookmarkEnd w:id="732884859"/>
    </w:p>
    <w:p w:rsidR="3C785821" w:rsidP="6CC80295" w:rsidRDefault="3C785821" w14:paraId="08B9D97C" w14:textId="016D6A8A">
      <w:pPr>
        <w:spacing w:before="240" w:beforeAutospacing="off" w:after="240" w:afterAutospacing="off"/>
      </w:pP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L'objectif fondamental de la BDD est de </w:t>
      </w:r>
      <w:r w:rsidRPr="6CC80295" w:rsidR="3C785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stocker et de gérer de manière sécurisée et structurée</w:t>
      </w: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l'intégralité des données relatives au dispositif de recueil de signalements internes (gestion des conflits et harcèlement), en assurant la conformité avec le cadre légal français et européen.</w:t>
      </w:r>
    </w:p>
    <w:p w:rsidR="3C785821" w:rsidP="6CC80295" w:rsidRDefault="3C785821" w14:paraId="57F7BB6D" w14:textId="3CF45BE4">
      <w:pPr>
        <w:pStyle w:val="Heading2"/>
        <w:rPr>
          <w:noProof w:val="0"/>
          <w:lang w:val="fr-FR"/>
        </w:rPr>
      </w:pPr>
      <w:bookmarkStart w:name="_Toc1768875733" w:id="1247529745"/>
      <w:r w:rsidRPr="6CC80295" w:rsidR="3C785821">
        <w:rPr>
          <w:noProof w:val="0"/>
          <w:lang w:val="fr-FR"/>
        </w:rPr>
        <w:t>Rôles Clés de la BDD</w:t>
      </w:r>
      <w:bookmarkEnd w:id="1247529745"/>
    </w:p>
    <w:p w:rsidR="3C785821" w:rsidP="6CC80295" w:rsidRDefault="3C785821" w14:paraId="50523530" w14:textId="5AF129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C80295" w:rsidR="3C785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Garantir la Conformité Légale (Loi Sapin 2 &amp; RGPD)</w:t>
      </w: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La BDD doit permettre le respect strict de la Loi Sapin 2 (traçabilité inaltérable des actions, garantie de l'anonymat) et du RGPD (chiffrement des données sensibles, droit à l'oubli).</w:t>
      </w:r>
    </w:p>
    <w:p w:rsidR="3C785821" w:rsidP="6CC80295" w:rsidRDefault="3C785821" w14:paraId="0D9C15E2" w14:textId="7CEED3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C80295" w:rsidR="3C785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Supporter l'Architecture en Trois Tiers</w:t>
      </w: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Elle constitue le </w:t>
      </w:r>
      <w:r w:rsidRPr="6CC80295" w:rsidR="3C785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Tiers 3 (Données)</w:t>
      </w: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l'architecture logicielle, agissant comme le référentiel unique des données pour l'API (Tiers 2) qui orchestre le chiffrement et les règles métier.</w:t>
      </w:r>
    </w:p>
    <w:p w:rsidR="3C785821" w:rsidP="6CC80295" w:rsidRDefault="3C785821" w14:paraId="597EBB55" w14:textId="0B516E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C80295" w:rsidR="3C785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Stockage Sécurisé</w:t>
      </w: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Elle doit héberger non seulement les données structurées, mais aussi les </w:t>
      </w:r>
      <w:r w:rsidRPr="6CC80295" w:rsidR="3C785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pièces jointes chiffrées</w:t>
      </w: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>, garantissant leur confidentialité tant au repos qu'en transit.</w:t>
      </w:r>
    </w:p>
    <w:p w:rsidR="3C785821" w:rsidP="6CC80295" w:rsidRDefault="3C785821" w14:paraId="00088165" w14:textId="0502F7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CC80295" w:rsidR="3C785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Base du Journal d'Audit Inaltérable</w:t>
      </w: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Elle est le support du journal d'audit (</w:t>
      </w:r>
      <w:r w:rsidRPr="6CC80295" w:rsidR="3C785821">
        <w:rPr>
          <w:rFonts w:ascii="Consolas" w:hAnsi="Consolas" w:eastAsia="Consolas" w:cs="Consolas"/>
          <w:noProof w:val="0"/>
          <w:sz w:val="24"/>
          <w:szCs w:val="24"/>
          <w:lang w:val="fr-FR"/>
        </w:rPr>
        <w:t>audit logs</w:t>
      </w: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>), crucial pour la traçabilité légale, enregistrant de manière chiffrée et non modifiable les actions des gestionnaires.</w:t>
      </w:r>
    </w:p>
    <w:p w:rsidR="6CC80295" w:rsidRDefault="6CC80295" w14:paraId="66C5A834" w14:textId="47B5E249"/>
    <w:p w:rsidR="3C785821" w:rsidP="6CC80295" w:rsidRDefault="3C785821" w14:paraId="09A0D0B5" w14:textId="09C089CB">
      <w:pPr>
        <w:pStyle w:val="Heading1"/>
        <w:rPr>
          <w:noProof w:val="0"/>
          <w:lang w:val="fr-FR"/>
        </w:rPr>
      </w:pPr>
      <w:bookmarkStart w:name="_Toc1315156955" w:id="1973039587"/>
      <w:r w:rsidRPr="6CC80295" w:rsidR="3C785821">
        <w:rPr>
          <w:noProof w:val="0"/>
          <w:lang w:val="fr-FR"/>
        </w:rPr>
        <w:t>2. Liste des Données et Dictionnaire de Données</w:t>
      </w:r>
      <w:bookmarkEnd w:id="1973039587"/>
    </w:p>
    <w:p w:rsidR="3C785821" w:rsidP="6CC80295" w:rsidRDefault="3C785821" w14:paraId="623DB356" w14:textId="08A8FE80">
      <w:pPr>
        <w:spacing w:before="240" w:beforeAutospacing="off" w:after="240" w:afterAutospacing="off"/>
      </w:pPr>
      <w:r w:rsidRPr="6CC80295" w:rsidR="3C785821">
        <w:rPr>
          <w:rFonts w:ascii="Aptos" w:hAnsi="Aptos" w:eastAsia="Aptos" w:cs="Aptos"/>
          <w:noProof w:val="0"/>
          <w:sz w:val="24"/>
          <w:szCs w:val="24"/>
          <w:lang w:val="fr-FR"/>
        </w:rPr>
        <w:t>La BDD s'articule autour d'un ensemble d'entités (tables) principales pour gérer les signalements, les utilisateurs de gestion, et les données de conformité.</w:t>
      </w:r>
    </w:p>
    <w:p w:rsidR="3C785821" w:rsidP="6CC80295" w:rsidRDefault="3C785821" w14:paraId="61CE921F" w14:textId="11B19154">
      <w:pPr>
        <w:pStyle w:val="Heading2"/>
        <w:rPr>
          <w:noProof w:val="0"/>
          <w:lang w:val="fr-FR"/>
        </w:rPr>
      </w:pPr>
      <w:bookmarkStart w:name="_Toc424241990" w:id="1499499627"/>
      <w:r w:rsidRPr="6CC80295" w:rsidR="3C785821">
        <w:rPr>
          <w:noProof w:val="0"/>
          <w:lang w:val="fr-FR"/>
        </w:rPr>
        <w:t>Entités Centrales et Sensibles</w:t>
      </w:r>
      <w:bookmarkEnd w:id="1499499627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10"/>
        <w:gridCol w:w="2267"/>
        <w:gridCol w:w="5537"/>
      </w:tblGrid>
      <w:tr w:rsidR="6CC80295" w:rsidTr="6CC80295" w14:paraId="620F265A">
        <w:trPr>
          <w:trHeight w:val="300"/>
        </w:trPr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9718AC4" w14:textId="736C18C1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Nom de la Table</w:t>
            </w:r>
          </w:p>
        </w:tc>
        <w:tc>
          <w:tcPr>
            <w:tcW w:w="22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641614A" w14:textId="235A1218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Description</w:t>
            </w:r>
          </w:p>
        </w:tc>
        <w:tc>
          <w:tcPr>
            <w:tcW w:w="55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776AE61C" w14:textId="11EF629D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Données Sensibles / Règle Clé</w:t>
            </w:r>
          </w:p>
        </w:tc>
      </w:tr>
      <w:tr w:rsidR="6CC80295" w:rsidTr="6CC80295" w14:paraId="139F771B">
        <w:trPr>
          <w:trHeight w:val="300"/>
        </w:trPr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3121662" w14:textId="441DCC50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signalements</w:t>
            </w:r>
          </w:p>
        </w:tc>
        <w:tc>
          <w:tcPr>
            <w:tcW w:w="22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44C00EF" w14:textId="243803E2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Enregistrement principal de l'alerte.</w:t>
            </w:r>
          </w:p>
        </w:tc>
        <w:tc>
          <w:tcPr>
            <w:tcW w:w="55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0D0A52D" w14:textId="2F92FD50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Contient la description détaillée des faits (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description,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encrypted</w:t>
            </w:r>
            <w:r w:rsidRPr="6CC80295" w:rsidR="6CC80295">
              <w:rPr>
                <w:color w:val="1F1F1F"/>
              </w:rPr>
              <w:t>), les informations de contact de la victime/mise en cause (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victum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contact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encrypted</w:t>
            </w:r>
            <w:r w:rsidRPr="6CC80295" w:rsidR="6CC80295">
              <w:rPr>
                <w:color w:val="1F1F1F"/>
              </w:rPr>
              <w:t>), et le code de suivi (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tracking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code</w:t>
            </w:r>
            <w:r w:rsidRPr="6CC80295" w:rsidR="6CC80295">
              <w:rPr>
                <w:color w:val="1F1F1F"/>
              </w:rPr>
              <w:t xml:space="preserve">). </w:t>
            </w:r>
            <w:r w:rsidRPr="6CC80295" w:rsidR="6CC80295">
              <w:rPr>
                <w:b w:val="1"/>
                <w:bCs w:val="1"/>
                <w:color w:val="1F1F1F"/>
              </w:rPr>
              <w:t>Toutes ces données sont chiffrées (AES-256) au repos</w:t>
            </w:r>
            <w:r w:rsidRPr="6CC80295" w:rsidR="6CC80295">
              <w:rPr>
                <w:color w:val="1F1F1F"/>
              </w:rPr>
              <w:t xml:space="preserve">. </w:t>
            </w:r>
          </w:p>
        </w:tc>
      </w:tr>
      <w:tr w:rsidR="6CC80295" w:rsidTr="6CC80295" w14:paraId="71046801">
        <w:trPr>
          <w:trHeight w:val="300"/>
        </w:trPr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D17E5AF" w14:textId="1819AD52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pieces jointes</w:t>
            </w:r>
          </w:p>
        </w:tc>
        <w:tc>
          <w:tcPr>
            <w:tcW w:w="22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DD89090" w14:textId="6C2BB671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Référence et métadonnées des preuves ajoutées au signalement.</w:t>
            </w:r>
          </w:p>
        </w:tc>
        <w:tc>
          <w:tcPr>
            <w:tcW w:w="55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43C766F5" w14:textId="67EC357B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Contient le chemin d'accès chiffré (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encrypted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path</w:t>
            </w:r>
            <w:r w:rsidRPr="6CC80295" w:rsidR="6CC80295">
              <w:rPr>
                <w:color w:val="1F1F1F"/>
              </w:rPr>
              <w:t>) et le nom de fichier original chiffré (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original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biename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encrypted</w:t>
            </w:r>
            <w:r w:rsidRPr="6CC80295" w:rsidR="6CC80295">
              <w:rPr>
                <w:color w:val="1F1F1F"/>
              </w:rPr>
              <w:t xml:space="preserve">). Les fichiers eux-mêmes sont chiffrés avant stockage. </w:t>
            </w:r>
          </w:p>
        </w:tc>
      </w:tr>
      <w:tr w:rsidR="6CC80295" w:rsidTr="6CC80295" w14:paraId="63A3D302">
        <w:trPr>
          <w:trHeight w:val="300"/>
        </w:trPr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416C1183" w14:textId="5EA3B504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messages</w:t>
            </w:r>
          </w:p>
        </w:tc>
        <w:tc>
          <w:tcPr>
            <w:tcW w:w="22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3520D14" w14:textId="60C64B37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Historique des échanges bidirectionnels entre le déposant anonyme et le gestionnaire.</w:t>
            </w:r>
          </w:p>
        </w:tc>
        <w:tc>
          <w:tcPr>
            <w:tcW w:w="55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883D133" w14:textId="5E138411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Le contenu est chiffré (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contenu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encrypted</w:t>
            </w:r>
            <w:r w:rsidRPr="6CC80295" w:rsidR="6CC80295">
              <w:rPr>
                <w:color w:val="1F1F1F"/>
              </w:rPr>
              <w:t xml:space="preserve">) et la communication est anonyme pour le déposant. </w:t>
            </w:r>
          </w:p>
        </w:tc>
      </w:tr>
      <w:tr w:rsidR="6CC80295" w:rsidTr="6CC80295" w14:paraId="690586F7">
        <w:trPr>
          <w:trHeight w:val="300"/>
        </w:trPr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C357B07" w14:textId="4A4FD03E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audit logs</w:t>
            </w:r>
          </w:p>
        </w:tc>
        <w:tc>
          <w:tcPr>
            <w:tcW w:w="22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7EC2000" w14:textId="2E0DA8F2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Journal d'historisation des actions des gestionnaires.</w:t>
            </w:r>
          </w:p>
        </w:tc>
        <w:tc>
          <w:tcPr>
            <w:tcW w:w="55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759A629" w14:textId="3BA9BF83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Enregistre de manière horodatée et chiffrée (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detals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encrypten</w:t>
            </w:r>
            <w:r w:rsidRPr="6CC80295" w:rsidR="6CC80295">
              <w:rPr>
                <w:color w:val="1F1F1F"/>
              </w:rPr>
              <w:t xml:space="preserve"> </w:t>
            </w:r>
            <w:r w:rsidRPr="6CC80295" w:rsidR="6CC80295">
              <w:rPr>
                <w:color w:val="444746"/>
                <w:sz w:val="24"/>
                <w:szCs w:val="24"/>
                <w:vertAlign w:val="superscript"/>
              </w:rPr>
              <w:t>16</w:t>
            </w:r>
            <w:r w:rsidRPr="6CC80295" w:rsidR="6CC80295">
              <w:rPr>
                <w:color w:val="1F1F1F"/>
              </w:rPr>
              <w:t>) chaque étape de traitement (accès, changement de statut, etc.). Assure l'inaltérabilité via un chaînage de hachage (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previous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Rash</w:t>
            </w:r>
            <w:r w:rsidRPr="6CC80295" w:rsidR="6CC80295">
              <w:rPr>
                <w:color w:val="1F1F1F"/>
              </w:rPr>
              <w:t xml:space="preserve">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current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hash</w:t>
            </w:r>
            <w:r w:rsidRPr="6CC80295" w:rsidR="6CC80295">
              <w:rPr>
                <w:color w:val="1F1F1F"/>
              </w:rPr>
              <w:t xml:space="preserve">). </w:t>
            </w:r>
          </w:p>
        </w:tc>
      </w:tr>
    </w:tbl>
    <w:p w:rsidR="6CC80295" w:rsidP="6CC80295" w:rsidRDefault="6CC80295" w14:paraId="763FC815" w14:textId="0D94299E">
      <w:pPr>
        <w:pStyle w:val="Normal"/>
        <w:rPr>
          <w:noProof w:val="0"/>
          <w:lang w:val="fr-FR"/>
        </w:rPr>
      </w:pPr>
    </w:p>
    <w:p w:rsidR="6B553804" w:rsidP="6CC80295" w:rsidRDefault="6B553804" w14:paraId="5AFAC16C" w14:textId="23A2B718">
      <w:pPr>
        <w:pStyle w:val="Heading2"/>
        <w:rPr>
          <w:noProof w:val="0"/>
          <w:lang w:val="fr-FR"/>
        </w:rPr>
      </w:pPr>
      <w:bookmarkStart w:name="_Toc414255538" w:id="1242769175"/>
      <w:r w:rsidRPr="6CC80295" w:rsidR="6B553804">
        <w:rPr>
          <w:noProof w:val="0"/>
          <w:lang w:val="fr-FR"/>
        </w:rPr>
        <w:t>Entités de Gestion et Référentiels</w:t>
      </w:r>
      <w:bookmarkEnd w:id="1242769175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42"/>
        <w:gridCol w:w="1904"/>
        <w:gridCol w:w="1959"/>
        <w:gridCol w:w="4209"/>
      </w:tblGrid>
      <w:tr w:rsidR="6CC80295" w:rsidTr="6CC80295" w14:paraId="2299AD5D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CC82053" w14:textId="201AEB4B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Nom de la Table</w:t>
            </w:r>
          </w:p>
        </w:tc>
        <w:tc>
          <w:tcPr>
            <w:tcW w:w="1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9C5FA8F" w14:textId="0D812EB1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Description</w:t>
            </w:r>
          </w:p>
        </w:tc>
        <w:tc>
          <w:tcPr>
            <w:tcW w:w="19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721B1B72" w14:textId="47010293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Attributs Clés</w:t>
            </w:r>
          </w:p>
        </w:tc>
        <w:tc>
          <w:tcPr>
            <w:tcW w:w="4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701C092B" w14:textId="313ADCAB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Contexte</w:t>
            </w:r>
          </w:p>
        </w:tc>
      </w:tr>
      <w:tr w:rsidR="6CC80295" w:rsidTr="6CC80295" w14:paraId="18B76ADE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18A3A32" w14:textId="70AC5C6F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users</w:t>
            </w:r>
          </w:p>
        </w:tc>
        <w:tc>
          <w:tcPr>
            <w:tcW w:w="1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7829BCE7" w14:textId="7D1160F9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Comptes des gestionnaires RH/Juristes.</w:t>
            </w:r>
          </w:p>
        </w:tc>
        <w:tc>
          <w:tcPr>
            <w:tcW w:w="19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03B4D01" w14:textId="661FE678">
            <w:pPr>
              <w:spacing w:before="0" w:beforeAutospacing="off" w:after="0" w:afterAutospacing="off"/>
            </w:pPr>
            <w:r w:rsidRPr="6CC80295" w:rsidR="6CC80295">
              <w:rPr>
                <w:rFonts w:ascii="Consolas" w:hAnsi="Consolas" w:eastAsia="Consolas" w:cs="Consolas"/>
                <w:color w:val="444746"/>
              </w:rPr>
              <w:t>Ide</w:t>
            </w:r>
            <w:r w:rsidRPr="6CC80295" w:rsidR="6CC80295">
              <w:rPr>
                <w:color w:val="1F1F1F"/>
              </w:rPr>
              <w:t xml:space="preserve">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name</w:t>
            </w:r>
            <w:r w:rsidRPr="6CC80295" w:rsidR="6CC80295">
              <w:rPr>
                <w:color w:val="1F1F1F"/>
              </w:rPr>
              <w:t xml:space="preserve">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password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hash</w:t>
            </w:r>
            <w:r w:rsidRPr="6CC80295" w:rsidR="6CC80295">
              <w:rPr>
                <w:color w:val="1F1F1F"/>
              </w:rPr>
              <w:t>.</w:t>
            </w:r>
          </w:p>
        </w:tc>
        <w:tc>
          <w:tcPr>
            <w:tcW w:w="4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D283846" w14:textId="6E205A86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Utilisé pour l'authentification et le MFA.</w:t>
            </w:r>
          </w:p>
        </w:tc>
      </w:tr>
      <w:tr w:rsidR="6CC80295" w:rsidTr="6CC80295" w14:paraId="3B413A03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758747C" w14:textId="5401C8F9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role</w:t>
            </w:r>
            <w:r w:rsidRPr="6CC80295" w:rsidR="6CC80295">
              <w:rPr>
                <w:color w:val="1F1F1F"/>
              </w:rPr>
              <w:t xml:space="preserve"> / </w:t>
            </w:r>
            <w:r w:rsidRPr="6CC80295" w:rsidR="6CC80295">
              <w:rPr>
                <w:b w:val="1"/>
                <w:bCs w:val="1"/>
                <w:color w:val="1F1F1F"/>
              </w:rPr>
              <w:t>permission</w:t>
            </w:r>
          </w:p>
        </w:tc>
        <w:tc>
          <w:tcPr>
            <w:tcW w:w="1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48D4121" w14:textId="698638E3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Gestion des droits d'accès.</w:t>
            </w:r>
          </w:p>
        </w:tc>
        <w:tc>
          <w:tcPr>
            <w:tcW w:w="19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BBD3D45" w14:textId="7D996976">
            <w:pPr>
              <w:spacing w:before="0" w:beforeAutospacing="off" w:after="0" w:afterAutospacing="off"/>
            </w:pPr>
            <w:r w:rsidRPr="6CC80295" w:rsidR="6CC80295">
              <w:rPr>
                <w:rFonts w:ascii="Consolas" w:hAnsi="Consolas" w:eastAsia="Consolas" w:cs="Consolas"/>
                <w:color w:val="444746"/>
              </w:rPr>
              <w:t>id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role</w:t>
            </w:r>
            <w:r w:rsidRPr="6CC80295" w:rsidR="6CC80295">
              <w:rPr>
                <w:color w:val="1F1F1F"/>
              </w:rPr>
              <w:t xml:space="preserve">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name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role</w:t>
            </w:r>
            <w:r w:rsidRPr="6CC80295" w:rsidR="6CC80295">
              <w:rPr>
                <w:color w:val="1F1F1F"/>
              </w:rPr>
              <w:t xml:space="preserve"> (</w:t>
            </w:r>
            <w:r w:rsidRPr="6CC80295" w:rsidR="6CC80295">
              <w:rPr>
                <w:color w:val="1F1F1F"/>
              </w:rPr>
              <w:t>ex:</w:t>
            </w:r>
            <w:r w:rsidRPr="6CC80295" w:rsidR="6CC80295">
              <w:rPr>
                <w:color w:val="1F1F1F"/>
              </w:rPr>
              <w:t xml:space="preserve"> Juriste, RH).</w:t>
            </w:r>
          </w:p>
        </w:tc>
        <w:tc>
          <w:tcPr>
            <w:tcW w:w="4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42940C9" w14:textId="29929974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Permet l'application du Contrôle d'Accès basé sur les Rôles (RBAC).</w:t>
            </w:r>
          </w:p>
        </w:tc>
      </w:tr>
      <w:tr w:rsidR="6CC80295" w:rsidTr="6CC80295" w14:paraId="15392D6E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AF4D1CA" w14:textId="07B08027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categorie</w:t>
            </w:r>
          </w:p>
        </w:tc>
        <w:tc>
          <w:tcPr>
            <w:tcW w:w="1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B096FAF" w14:textId="590A7A29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Types de signalements.</w:t>
            </w:r>
          </w:p>
        </w:tc>
        <w:tc>
          <w:tcPr>
            <w:tcW w:w="19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76CFC72" w14:textId="53C670C7">
            <w:pPr>
              <w:spacing w:before="0" w:beforeAutospacing="off" w:after="0" w:afterAutospacing="off"/>
              <w:rPr>
                <w:color w:val="1F1F1F"/>
              </w:rPr>
            </w:pPr>
            <w:r w:rsidRPr="6CC80295" w:rsidR="6CC80295">
              <w:rPr>
                <w:rFonts w:ascii="Consolas" w:hAnsi="Consolas" w:eastAsia="Consolas" w:cs="Consolas"/>
                <w:color w:val="444746"/>
              </w:rPr>
              <w:t>id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categorie</w:t>
            </w:r>
            <w:r w:rsidRPr="6CC80295" w:rsidR="6CC80295">
              <w:rPr>
                <w:color w:val="1F1F1F"/>
              </w:rPr>
              <w:t xml:space="preserve">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name</w:t>
            </w:r>
            <w:r w:rsidRPr="6CC80295" w:rsidR="34171A94">
              <w:rPr>
                <w:rFonts w:ascii="Consolas" w:hAnsi="Consolas" w:eastAsia="Consolas" w:cs="Consolas"/>
                <w:color w:val="444746"/>
              </w:rPr>
              <w:t>.</w:t>
            </w:r>
          </w:p>
        </w:tc>
        <w:tc>
          <w:tcPr>
            <w:tcW w:w="4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377D8A0" w14:textId="18BB8D22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Utilisé pour le filtrage et la classification automatique par l'IA.</w:t>
            </w:r>
          </w:p>
        </w:tc>
      </w:tr>
      <w:tr w:rsidR="6CC80295" w:rsidTr="6CC80295" w14:paraId="78F05CAD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21E76A7" w14:textId="6C43777A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statut</w:t>
            </w:r>
          </w:p>
        </w:tc>
        <w:tc>
          <w:tcPr>
            <w:tcW w:w="1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B53F9A8" w14:textId="6FAD76F9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Étapes de traitement du signalement.</w:t>
            </w:r>
          </w:p>
        </w:tc>
        <w:tc>
          <w:tcPr>
            <w:tcW w:w="19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5866587" w14:textId="2F5FD3FF">
            <w:pPr>
              <w:spacing w:before="0" w:beforeAutospacing="off" w:after="0" w:afterAutospacing="off"/>
            </w:pPr>
            <w:r w:rsidRPr="6CC80295" w:rsidR="6CC80295">
              <w:rPr>
                <w:rFonts w:ascii="Consolas" w:hAnsi="Consolas" w:eastAsia="Consolas" w:cs="Consolas"/>
                <w:color w:val="444746"/>
              </w:rPr>
              <w:t>id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statut</w:t>
            </w:r>
            <w:r w:rsidRPr="6CC80295" w:rsidR="6CC80295">
              <w:rPr>
                <w:color w:val="1F1F1F"/>
              </w:rPr>
              <w:t xml:space="preserve">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name</w:t>
            </w:r>
            <w:r w:rsidRPr="6CC80295" w:rsidR="6CC80295">
              <w:rPr>
                <w:color w:val="1F1F1F"/>
              </w:rPr>
              <w:t>.</w:t>
            </w:r>
          </w:p>
        </w:tc>
        <w:tc>
          <w:tcPr>
            <w:tcW w:w="4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76CAB2C" w14:textId="187C5EE4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(Nouveau, En Cours, Clôturé) – Utilisé pour le tableau de bord et la traçabilité.</w:t>
            </w:r>
          </w:p>
        </w:tc>
      </w:tr>
      <w:tr w:rsidR="6CC80295" w:rsidTr="6CC80295" w14:paraId="27F25295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6DE6153" w14:textId="5E925936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priorite</w:t>
            </w:r>
          </w:p>
        </w:tc>
        <w:tc>
          <w:tcPr>
            <w:tcW w:w="1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B9A693C" w14:textId="779E09D0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Niveau d'urgence du signalement.</w:t>
            </w:r>
          </w:p>
        </w:tc>
        <w:tc>
          <w:tcPr>
            <w:tcW w:w="19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BCC2062" w14:textId="785EADF7">
            <w:pPr>
              <w:spacing w:before="0" w:beforeAutospacing="off" w:after="0" w:afterAutospacing="off"/>
            </w:pPr>
            <w:r w:rsidRPr="6CC80295" w:rsidR="6CC80295">
              <w:rPr>
                <w:rFonts w:ascii="Consolas" w:hAnsi="Consolas" w:eastAsia="Consolas" w:cs="Consolas"/>
                <w:color w:val="444746"/>
              </w:rPr>
              <w:t>id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priorite</w:t>
            </w:r>
            <w:r w:rsidRPr="6CC80295" w:rsidR="6CC80295">
              <w:rPr>
                <w:color w:val="1F1F1F"/>
              </w:rPr>
              <w:t xml:space="preserve">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priorite</w:t>
            </w:r>
            <w:r w:rsidRPr="6CC80295" w:rsidR="6CC80295">
              <w:rPr>
                <w:color w:val="1F1F1F"/>
              </w:rPr>
              <w:t>.</w:t>
            </w:r>
          </w:p>
        </w:tc>
        <w:tc>
          <w:tcPr>
            <w:tcW w:w="4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FA67559" w14:textId="0125A764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Permet de hiérarchiser les cas dans le tableau de bord.</w:t>
            </w:r>
          </w:p>
        </w:tc>
      </w:tr>
      <w:tr w:rsidR="6CC80295" w:rsidTr="6CC80295" w14:paraId="3567EED5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45DBF8B0" w14:textId="31A01087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classifications IA</w:t>
            </w:r>
          </w:p>
        </w:tc>
        <w:tc>
          <w:tcPr>
            <w:tcW w:w="1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CD57199" w14:textId="4DE981EC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Proposition initiale de catégorie par l'IA.</w:t>
            </w:r>
          </w:p>
        </w:tc>
        <w:tc>
          <w:tcPr>
            <w:tcW w:w="19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6CA6C14" w14:textId="6634496E">
            <w:pPr>
              <w:spacing w:before="0" w:beforeAutospacing="off" w:after="0" w:afterAutospacing="off"/>
            </w:pPr>
            <w:r w:rsidRPr="6CC80295" w:rsidR="6CC80295">
              <w:rPr>
                <w:rFonts w:ascii="Consolas" w:hAnsi="Consolas" w:eastAsia="Consolas" w:cs="Consolas"/>
                <w:color w:val="444746"/>
              </w:rPr>
              <w:t>signalement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id</w:t>
            </w:r>
            <w:r w:rsidRPr="6CC80295" w:rsidR="6CC80295">
              <w:rPr>
                <w:color w:val="1F1F1F"/>
              </w:rPr>
              <w:t xml:space="preserve">,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categorie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propose id</w:t>
            </w:r>
            <w:r w:rsidRPr="6CC80295" w:rsidR="6CC80295">
              <w:rPr>
                <w:color w:val="1F1F1F"/>
              </w:rPr>
              <w:t>.</w:t>
            </w:r>
          </w:p>
        </w:tc>
        <w:tc>
          <w:tcPr>
            <w:tcW w:w="42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451DBC7" w14:textId="46B1333F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Trace l'affectation automatique par l'IA (qui peut être corrigée manuellement par l'humain).</w:t>
            </w:r>
          </w:p>
        </w:tc>
      </w:tr>
    </w:tbl>
    <w:p w:rsidR="6CC80295" w:rsidP="6CC80295" w:rsidRDefault="6CC80295" w14:paraId="24F8522E" w14:textId="35AA2F18">
      <w:pPr>
        <w:pStyle w:val="Normal"/>
        <w:rPr>
          <w:noProof w:val="0"/>
          <w:lang w:val="fr-FR"/>
        </w:rPr>
      </w:pPr>
    </w:p>
    <w:p w:rsidR="4260E20A" w:rsidP="6CC80295" w:rsidRDefault="4260E20A" w14:paraId="36AFC765" w14:textId="18ADD274">
      <w:pPr>
        <w:pStyle w:val="Heading1"/>
        <w:rPr>
          <w:noProof w:val="0"/>
          <w:lang w:val="fr-FR"/>
        </w:rPr>
      </w:pPr>
      <w:bookmarkStart w:name="_Toc677844726" w:id="1060939195"/>
      <w:r w:rsidRPr="6CC80295" w:rsidR="4260E20A">
        <w:rPr>
          <w:noProof w:val="0"/>
          <w:lang w:val="fr-FR"/>
        </w:rPr>
        <w:t>3. Liste des Règles d’Intégrité et de Sécurité</w:t>
      </w:r>
      <w:bookmarkEnd w:id="1060939195"/>
    </w:p>
    <w:p w:rsidR="4260E20A" w:rsidP="6CC80295" w:rsidRDefault="4260E20A" w14:paraId="43E0F24A" w14:textId="04D8E682">
      <w:pPr>
        <w:spacing w:before="240" w:beforeAutospacing="off" w:after="240" w:afterAutospacing="off"/>
      </w:pPr>
      <w:r w:rsidRPr="6CC80295" w:rsidR="4260E20A">
        <w:rPr>
          <w:rFonts w:ascii="Aptos" w:hAnsi="Aptos" w:eastAsia="Aptos" w:cs="Aptos"/>
          <w:noProof w:val="0"/>
          <w:sz w:val="24"/>
          <w:szCs w:val="24"/>
          <w:lang w:val="fr-FR"/>
        </w:rPr>
        <w:t>La sécurité et l'intégrité des données sont critiques (NF.4.</w:t>
      </w:r>
      <w:r w:rsidRPr="6CC80295" w:rsidR="4260E20A">
        <w:rPr>
          <w:rFonts w:ascii="Aptos" w:hAnsi="Aptos" w:eastAsia="Aptos" w:cs="Aptos"/>
          <w:noProof w:val="0"/>
          <w:sz w:val="24"/>
          <w:szCs w:val="24"/>
          <w:lang w:val="fr-FR"/>
        </w:rPr>
        <w:t>1 )</w:t>
      </w:r>
      <w:r w:rsidRPr="6CC80295" w:rsidR="4260E20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Les règles ci-dessous sont tirées des exigences fonctionnelles et non fonctionnelles du </w:t>
      </w:r>
      <w:r w:rsidRPr="6CC80295" w:rsidR="4260E20A">
        <w:rPr>
          <w:rFonts w:ascii="Aptos" w:hAnsi="Aptos" w:eastAsia="Aptos" w:cs="Aptos"/>
          <w:noProof w:val="0"/>
          <w:sz w:val="24"/>
          <w:szCs w:val="24"/>
          <w:lang w:val="fr-FR"/>
        </w:rPr>
        <w:t>CdC</w:t>
      </w:r>
      <w:r w:rsidRPr="6CC80295" w:rsidR="4260E20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(Sections 3.2, 4.1, 8.3).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9"/>
        <w:gridCol w:w="1168"/>
        <w:gridCol w:w="6048"/>
      </w:tblGrid>
      <w:tr w:rsidR="6CC80295" w:rsidTr="6CC80295" w14:paraId="2B650327">
        <w:trPr>
          <w:trHeight w:val="300"/>
        </w:trPr>
        <w:tc>
          <w:tcPr>
            <w:tcW w:w="13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4637488" w14:textId="6BDA9432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Règle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D0417ED" w14:textId="334B6758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Exigence Correspondante</w:t>
            </w:r>
          </w:p>
        </w:tc>
        <w:tc>
          <w:tcPr>
            <w:tcW w:w="6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02ED3C1" w14:textId="6D4247A5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Description Détaillée</w:t>
            </w:r>
          </w:p>
        </w:tc>
      </w:tr>
      <w:tr w:rsidR="6CC80295" w:rsidTr="6CC80295" w14:paraId="5E26127F">
        <w:trPr>
          <w:trHeight w:val="300"/>
        </w:trPr>
        <w:tc>
          <w:tcPr>
            <w:tcW w:w="13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9E5D93D" w14:textId="130F5D34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Chiffrement au Repos (Critique)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D899C67" w14:textId="55F6CE38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NF.4.1.1 / C.8.3.1</w:t>
            </w:r>
          </w:p>
        </w:tc>
        <w:tc>
          <w:tcPr>
            <w:tcW w:w="6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4C5210BC" w14:textId="4C2A104C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Utilisation obligatoire de l'algorithme </w:t>
            </w:r>
            <w:r w:rsidRPr="6CC80295" w:rsidR="6CC80295">
              <w:rPr>
                <w:b w:val="1"/>
                <w:bCs w:val="1"/>
                <w:color w:val="1F1F1F"/>
              </w:rPr>
              <w:t>AES-256 avec salage</w:t>
            </w:r>
            <w:r w:rsidRPr="6CC80295" w:rsidR="6CC80295">
              <w:rPr>
                <w:color w:val="1F1F1F"/>
              </w:rPr>
              <w:t xml:space="preserve"> pour chiffrer toutes les données et pièces jointes sensibles stockées dans la BDD. La clé de chiffrement doit être stockée hors BDD (variable d’environnement). </w:t>
            </w:r>
          </w:p>
        </w:tc>
      </w:tr>
      <w:tr w:rsidR="6CC80295" w:rsidTr="6CC80295" w14:paraId="56B20848">
        <w:trPr>
          <w:trHeight w:val="300"/>
        </w:trPr>
        <w:tc>
          <w:tcPr>
            <w:tcW w:w="13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9D5DC4F" w14:textId="1C98B4FC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Chiffrement en Transit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3709A96" w14:textId="022EC325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NF.4.1.1</w:t>
            </w:r>
          </w:p>
        </w:tc>
        <w:tc>
          <w:tcPr>
            <w:tcW w:w="6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1FF8EA8B" w14:textId="570AEF9F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L'échange de données entre les modules et l'API doit être sécurisé via le protocole </w:t>
            </w:r>
            <w:r w:rsidRPr="6CC80295" w:rsidR="6CC80295">
              <w:rPr>
                <w:b w:val="1"/>
                <w:bCs w:val="1"/>
                <w:color w:val="1F1F1F"/>
              </w:rPr>
              <w:t>HTTPS/TLS 1.2 minimum</w:t>
            </w:r>
            <w:r w:rsidRPr="6CC80295" w:rsidR="6CC80295">
              <w:rPr>
                <w:color w:val="1F1F1F"/>
              </w:rPr>
              <w:t xml:space="preserve">. </w:t>
            </w:r>
          </w:p>
        </w:tc>
      </w:tr>
      <w:tr w:rsidR="6CC80295" w:rsidTr="6CC80295" w14:paraId="3F95526E">
        <w:trPr>
          <w:trHeight w:val="300"/>
        </w:trPr>
        <w:tc>
          <w:tcPr>
            <w:tcW w:w="13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E0C61A2" w14:textId="70CFAFE4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Journalisation Inaltérable (Sapin 2)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6D3A4F3" w14:textId="38DE12B9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F.2.6 / NF.4.1.2</w:t>
            </w:r>
          </w:p>
        </w:tc>
        <w:tc>
          <w:tcPr>
            <w:tcW w:w="6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0A5B663" w14:textId="503E6AEE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L'accès et la modification des dossiers par les gestionnaires doivent être enregistrés dans un </w:t>
            </w:r>
            <w:r w:rsidRPr="6CC80295" w:rsidR="6CC80295">
              <w:rPr>
                <w:b w:val="1"/>
                <w:bCs w:val="1"/>
                <w:color w:val="1F1F1F"/>
              </w:rPr>
              <w:t>Audit Log</w:t>
            </w:r>
            <w:r w:rsidRPr="6CC80295" w:rsidR="6CC80295">
              <w:rPr>
                <w:color w:val="1F1F1F"/>
              </w:rPr>
              <w:t xml:space="preserve"> sécurisé, horodaté et techniquement </w:t>
            </w:r>
            <w:r w:rsidRPr="6CC80295" w:rsidR="6CC80295">
              <w:rPr>
                <w:b w:val="1"/>
                <w:bCs w:val="1"/>
                <w:color w:val="1F1F1F"/>
              </w:rPr>
              <w:t>inaltérable</w:t>
            </w:r>
            <w:r w:rsidRPr="6CC80295" w:rsidR="6CC80295">
              <w:rPr>
                <w:color w:val="1F1F1F"/>
              </w:rPr>
              <w:t xml:space="preserve"> (probablement via hachage chaîné comme suggéré par le schéma). </w:t>
            </w:r>
          </w:p>
        </w:tc>
      </w:tr>
      <w:tr w:rsidR="6CC80295" w:rsidTr="6CC80295" w14:paraId="73E4A635">
        <w:trPr>
          <w:trHeight w:val="300"/>
        </w:trPr>
        <w:tc>
          <w:tcPr>
            <w:tcW w:w="13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8ECA9DF" w14:textId="629E863E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Anonymisation Irréversible (RGPD)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8136BA4" w14:textId="1799458B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F.2.5 / NF.4.1.5</w:t>
            </w:r>
          </w:p>
        </w:tc>
        <w:tc>
          <w:tcPr>
            <w:tcW w:w="6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4EE64631" w14:textId="10D2E970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Une procédure doit garantir l'effacement définitif et l'anonymisation technique et irréversible des données personnelles du déposant (droit à l'oubli) lors de la clôture et l'archivage du dossier. </w:t>
            </w:r>
          </w:p>
        </w:tc>
      </w:tr>
      <w:tr w:rsidR="6CC80295" w:rsidTr="6CC80295" w14:paraId="26DB3DD6">
        <w:trPr>
          <w:trHeight w:val="300"/>
        </w:trPr>
        <w:tc>
          <w:tcPr>
            <w:tcW w:w="13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7D212A18" w14:textId="3BE485A4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Authentification Renforcée (MFA)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110BFB7" w14:textId="4B979BA7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NF.4.1.3</w:t>
            </w:r>
          </w:p>
        </w:tc>
        <w:tc>
          <w:tcPr>
            <w:tcW w:w="6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131C3F52" w14:textId="0A205EBD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L'accès à l'Application de Gestion (</w:t>
            </w:r>
            <w:r w:rsidRPr="6CC80295" w:rsidR="6CC80295">
              <w:rPr>
                <w:color w:val="1F1F1F"/>
              </w:rPr>
              <w:t>Windev</w:t>
            </w:r>
            <w:r w:rsidRPr="6CC80295" w:rsidR="6CC80295">
              <w:rPr>
                <w:color w:val="1F1F1F"/>
              </w:rPr>
              <w:t xml:space="preserve">) par les RH/Juristes doit être protégé par une </w:t>
            </w:r>
            <w:r w:rsidRPr="6CC80295" w:rsidR="6CC80295">
              <w:rPr>
                <w:b w:val="1"/>
                <w:bCs w:val="1"/>
                <w:color w:val="1F1F1F"/>
              </w:rPr>
              <w:t>double authentification (MFA</w:t>
            </w:r>
            <w:r w:rsidRPr="6CC80295" w:rsidR="455B47C1">
              <w:rPr>
                <w:b w:val="1"/>
                <w:bCs w:val="1"/>
                <w:color w:val="1F1F1F"/>
              </w:rPr>
              <w:t>)</w:t>
            </w:r>
            <w:r w:rsidRPr="6CC80295" w:rsidR="6CC80295">
              <w:rPr>
                <w:color w:val="1F1F1F"/>
              </w:rPr>
              <w:t xml:space="preserve">. </w:t>
            </w:r>
          </w:p>
        </w:tc>
      </w:tr>
      <w:tr w:rsidR="6CC80295" w:rsidTr="6CC80295" w14:paraId="71C96C4A">
        <w:trPr>
          <w:trHeight w:val="300"/>
        </w:trPr>
        <w:tc>
          <w:tcPr>
            <w:tcW w:w="139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9D181D6" w14:textId="053FAB73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Sécurité du Code de Suivi</w:t>
            </w:r>
          </w:p>
        </w:tc>
        <w:tc>
          <w:tcPr>
            <w:tcW w:w="11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7AC7D4C0" w14:textId="76AC93E1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F.1.5</w:t>
            </w:r>
          </w:p>
        </w:tc>
        <w:tc>
          <w:tcPr>
            <w:tcW w:w="60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12381F3F" w14:textId="1EE29572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Par priorité à l'anonymat, </w:t>
            </w:r>
            <w:r w:rsidRPr="6CC80295" w:rsidR="6CC80295">
              <w:rPr>
                <w:b w:val="1"/>
                <w:bCs w:val="1"/>
                <w:color w:val="1F1F1F"/>
              </w:rPr>
              <w:t>aucune procédure de récupération</w:t>
            </w:r>
            <w:r w:rsidRPr="6CC80295" w:rsidR="6CC80295">
              <w:rPr>
                <w:color w:val="1F1F1F"/>
              </w:rPr>
              <w:t xml:space="preserve"> du 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>tracking</w:t>
            </w:r>
            <w:r w:rsidRPr="6CC80295" w:rsidR="6CC80295">
              <w:rPr>
                <w:rFonts w:ascii="Consolas" w:hAnsi="Consolas" w:eastAsia="Consolas" w:cs="Consolas"/>
                <w:color w:val="444746"/>
              </w:rPr>
              <w:t xml:space="preserve"> code</w:t>
            </w:r>
            <w:r w:rsidRPr="6CC80295" w:rsidR="6CC80295">
              <w:rPr>
                <w:color w:val="1F1F1F"/>
              </w:rPr>
              <w:t xml:space="preserve"> et de son mot de passe associé n'est autorisée, garantissant l'intégrité du dépôt anonyme (décision stratégique Sapin 2). </w:t>
            </w:r>
          </w:p>
        </w:tc>
      </w:tr>
    </w:tbl>
    <w:p w:rsidR="6CC80295" w:rsidP="6CC80295" w:rsidRDefault="6CC80295" w14:paraId="63AFD418" w14:textId="653ABA8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F5F0BFC" w:rsidP="6CC80295" w:rsidRDefault="1F5F0BFC" w14:paraId="7FA01BAA" w14:textId="4A35250D">
      <w:pPr>
        <w:pStyle w:val="Heading2"/>
        <w:rPr>
          <w:noProof w:val="0"/>
          <w:lang w:val="fr-FR"/>
        </w:rPr>
      </w:pPr>
      <w:bookmarkStart w:name="_Toc661611361" w:id="2030978754"/>
      <w:r w:rsidRPr="6CC80295" w:rsidR="1F5F0BFC">
        <w:rPr>
          <w:noProof w:val="0"/>
          <w:lang w:val="fr-FR"/>
        </w:rPr>
        <w:t>Règles d'Intégrité et de Gestion des Données</w:t>
      </w:r>
      <w:bookmarkEnd w:id="2030978754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77"/>
        <w:gridCol w:w="1171"/>
        <w:gridCol w:w="5867"/>
      </w:tblGrid>
      <w:tr w:rsidR="6CC80295" w:rsidTr="6CC80295" w14:paraId="4F94843F">
        <w:trPr>
          <w:trHeight w:val="300"/>
        </w:trPr>
        <w:tc>
          <w:tcPr>
            <w:tcW w:w="1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13199A30" w14:textId="44637848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Règle</w:t>
            </w:r>
          </w:p>
        </w:tc>
        <w:tc>
          <w:tcPr>
            <w:tcW w:w="11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A1E74D6" w14:textId="1EC4CCA7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Exigence Correspondante</w:t>
            </w:r>
          </w:p>
        </w:tc>
        <w:tc>
          <w:tcPr>
            <w:tcW w:w="58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E7CB85F" w14:textId="6C283989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Description Détaillée</w:t>
            </w:r>
          </w:p>
        </w:tc>
      </w:tr>
      <w:tr w:rsidR="6CC80295" w:rsidTr="6CC80295" w14:paraId="7B70E793">
        <w:trPr>
          <w:trHeight w:val="300"/>
        </w:trPr>
        <w:tc>
          <w:tcPr>
            <w:tcW w:w="1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36EA04F1" w14:textId="3E5E62B7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Contrôle d'Accès basé sur les Rôles (RBAC)</w:t>
            </w:r>
          </w:p>
        </w:tc>
        <w:tc>
          <w:tcPr>
            <w:tcW w:w="11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5CD9351" w14:textId="169329F2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F.2.1 / NF.4.1.6</w:t>
            </w:r>
          </w:p>
        </w:tc>
        <w:tc>
          <w:tcPr>
            <w:tcW w:w="58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0F052F81" w14:textId="6601B31F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La visibilité et la modification des données doivent être strictement conditionnées par le rôle de l'utilisateur (Administrateur, Juriste, RH). Les Juristes peuvent avoir accès à des informations restreintes aux RH. </w:t>
            </w:r>
          </w:p>
        </w:tc>
      </w:tr>
      <w:tr w:rsidR="6CC80295" w:rsidTr="6CC80295" w14:paraId="0B1ED080">
        <w:trPr>
          <w:trHeight w:val="300"/>
        </w:trPr>
        <w:tc>
          <w:tcPr>
            <w:tcW w:w="1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6107D4CC" w14:textId="63DF4E0F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Politique de Session</w:t>
            </w:r>
          </w:p>
        </w:tc>
        <w:tc>
          <w:tcPr>
            <w:tcW w:w="11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76BE07F6" w14:textId="2D033356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NF.4.1.4</w:t>
            </w:r>
          </w:p>
        </w:tc>
        <w:tc>
          <w:tcPr>
            <w:tcW w:w="58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71DBC13D" w14:textId="07A06602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Déconnexion automatique de l'utilisateur après </w:t>
            </w:r>
            <w:r w:rsidRPr="6CC80295" w:rsidR="6CC80295">
              <w:rPr>
                <w:b w:val="1"/>
                <w:bCs w:val="1"/>
                <w:color w:val="1F1F1F"/>
              </w:rPr>
              <w:t>15 minutes d'inactivité</w:t>
            </w:r>
            <w:r w:rsidRPr="6CC80295" w:rsidR="6CC80295">
              <w:rPr>
                <w:color w:val="1F1F1F"/>
              </w:rPr>
              <w:t xml:space="preserve"> sur l'application de gestion pour minimiser le risque d'accès non autorisé. </w:t>
            </w:r>
          </w:p>
        </w:tc>
      </w:tr>
      <w:tr w:rsidR="6CC80295" w:rsidTr="6CC80295" w14:paraId="72A75605">
        <w:trPr>
          <w:trHeight w:val="300"/>
        </w:trPr>
        <w:tc>
          <w:tcPr>
            <w:tcW w:w="1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8FE3A61" w14:textId="08AC4175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Objectif de Point de Récupération (RPO)</w:t>
            </w:r>
          </w:p>
        </w:tc>
        <w:tc>
          <w:tcPr>
            <w:tcW w:w="11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1044B87C" w14:textId="3F78BA81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NF.4.1.7</w:t>
            </w:r>
          </w:p>
        </w:tc>
        <w:tc>
          <w:tcPr>
            <w:tcW w:w="58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C8DFE43" w14:textId="611C1C35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Une sauvegarde complète de la BDD (incluant les données chiffrées) est requise au minimum </w:t>
            </w:r>
            <w:r w:rsidRPr="6CC80295" w:rsidR="6CC80295">
              <w:rPr>
                <w:b w:val="1"/>
                <w:bCs w:val="1"/>
                <w:color w:val="1F1F1F"/>
              </w:rPr>
              <w:t>une fois par 24 heures</w:t>
            </w:r>
            <w:r w:rsidRPr="6CC80295" w:rsidR="6CC80295">
              <w:rPr>
                <w:color w:val="1F1F1F"/>
              </w:rPr>
              <w:t xml:space="preserve">. </w:t>
            </w:r>
          </w:p>
        </w:tc>
      </w:tr>
      <w:tr w:rsidR="6CC80295" w:rsidTr="6CC80295" w14:paraId="7A53CA98">
        <w:trPr>
          <w:trHeight w:val="300"/>
        </w:trPr>
        <w:tc>
          <w:tcPr>
            <w:tcW w:w="15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42686953" w14:textId="3433F005">
            <w:pPr>
              <w:spacing w:before="0" w:beforeAutospacing="off" w:after="0" w:afterAutospacing="off"/>
            </w:pPr>
            <w:r w:rsidRPr="6CC80295" w:rsidR="6CC80295">
              <w:rPr>
                <w:b w:val="1"/>
                <w:bCs w:val="1"/>
                <w:color w:val="1F1F1F"/>
              </w:rPr>
              <w:t>Intégrité de la Classification IA</w:t>
            </w:r>
          </w:p>
        </w:tc>
        <w:tc>
          <w:tcPr>
            <w:tcW w:w="117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2E7AA951" w14:textId="47581024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>F.2.3</w:t>
            </w:r>
          </w:p>
        </w:tc>
        <w:tc>
          <w:tcPr>
            <w:tcW w:w="58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C80295" w:rsidP="6CC80295" w:rsidRDefault="6CC80295" w14:paraId="5B9F6D0F" w14:textId="6703AE69">
            <w:pPr>
              <w:spacing w:before="0" w:beforeAutospacing="off" w:after="0" w:afterAutospacing="off"/>
            </w:pPr>
            <w:r w:rsidRPr="6CC80295" w:rsidR="6CC80295">
              <w:rPr>
                <w:color w:val="1F1F1F"/>
              </w:rPr>
              <w:t xml:space="preserve">L'affectation de catégorie proposée par l'IA doit être journalisée, mais le gestionnaire (humain) doit pouvoir la corriger manuellement. L'historique (Audit Log) doit tracer l'affectation automatique </w:t>
            </w:r>
            <w:r w:rsidRPr="6CC80295" w:rsidR="6CC80295">
              <w:rPr>
                <w:i w:val="1"/>
                <w:iCs w:val="1"/>
                <w:color w:val="1F1F1F"/>
              </w:rPr>
              <w:t>et</w:t>
            </w:r>
            <w:r w:rsidRPr="6CC80295" w:rsidR="6CC80295">
              <w:rPr>
                <w:color w:val="1F1F1F"/>
              </w:rPr>
              <w:t xml:space="preserve"> la correction manuelle. </w:t>
            </w:r>
          </w:p>
        </w:tc>
      </w:tr>
    </w:tbl>
    <w:p w:rsidR="6CC80295" w:rsidP="6CC80295" w:rsidRDefault="6CC80295" w14:paraId="1C1FD908" w14:textId="42739DB5">
      <w:pPr>
        <w:pStyle w:val="Normal"/>
        <w:rPr>
          <w:noProof w:val="0"/>
          <w:lang w:val="fr-FR"/>
        </w:rPr>
      </w:pPr>
    </w:p>
    <w:p w:rsidR="6CC80295" w:rsidP="6CC80295" w:rsidRDefault="6CC80295" w14:paraId="30E7919C" w14:textId="617DE9D1">
      <w:pPr>
        <w:pStyle w:val="Normal"/>
        <w:rPr>
          <w:noProof w:val="0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b32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26D9B"/>
    <w:rsid w:val="00F8D232"/>
    <w:rsid w:val="00F8D232"/>
    <w:rsid w:val="037A41FE"/>
    <w:rsid w:val="0FE507DF"/>
    <w:rsid w:val="1EE49D3E"/>
    <w:rsid w:val="1F5F0BFC"/>
    <w:rsid w:val="32C92749"/>
    <w:rsid w:val="34171A94"/>
    <w:rsid w:val="36926D9B"/>
    <w:rsid w:val="3744A67F"/>
    <w:rsid w:val="3744A67F"/>
    <w:rsid w:val="3C785821"/>
    <w:rsid w:val="410B3E09"/>
    <w:rsid w:val="4260E20A"/>
    <w:rsid w:val="455B47C1"/>
    <w:rsid w:val="47E5D55F"/>
    <w:rsid w:val="619B85B1"/>
    <w:rsid w:val="63987502"/>
    <w:rsid w:val="69ACDD1C"/>
    <w:rsid w:val="6B553804"/>
    <w:rsid w:val="6CC80295"/>
    <w:rsid w:val="787B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6D9B"/>
  <w15:chartTrackingRefBased/>
  <w15:docId w15:val="{764993A4-0671-4B88-B306-63DB47BB4B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CC802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CC802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CC8029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CC802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CC80295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CC8029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CC80295"/>
    <w:pPr>
      <w:spacing w:after="100"/>
      <w:ind w:left="220"/>
    </w:pPr>
  </w:style>
  <w:style w:type="paragraph" w:styleId="Title">
    <w:uiPriority w:val="10"/>
    <w:name w:val="Title"/>
    <w:basedOn w:val="Normal"/>
    <w:next w:val="Normal"/>
    <w:qFormat/>
    <w:rsid w:val="6CC8029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15421791bf4a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2025-12-11T19:30:11.9354487Z</dcterms:created>
  <dcterms:modified xsi:type="dcterms:W3CDTF">2025-12-11T19:54:42.2413040Z</dcterms:modified>
  <dc:creator>Maxime IFFLAND</dc:creator>
  <lastModifiedBy>Maxime IFFLAND</lastModifiedBy>
</coreProperties>
</file>