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KAVYA KALAVALA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Bengaluru, India  |  +91-9535832089  |  kxvya1820@gmail.com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linkedin.com/in/kavya-kalavala-6008b5286  |  github.com/Kxvya18  |  kavya-portfolio-webpage.vercel.app</w:t>
      </w:r>
    </w:p>
    <w:p>
      <w:pPr>
        <w:pBdr>
          <w:bottom w:val="single" w:color="000000" w:sz="6" w:space="1"/>
        </w:pBdr>
        <w:spacing w:after="5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SUMMARY</w:t>
      </w:r>
    </w:p>
    <w:p>
      <w:p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Computer Science (Data Science) undergraduate building machine-learning systems in graph and temporal learning, generative models, EEG and biomedical AI, security ML, and agentic LLM applications. Focused on leakage-controlled evaluation, uncertainty quantification and reproducible research.</w:t>
      </w:r>
    </w:p>
    <w:p>
      <w:pPr>
        <w:pBdr>
          <w:bottom w:val="single" w:color="000000" w:sz="6" w:space="1"/>
        </w:pBdr>
        <w:spacing w:after="5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TECHNICAL SKILLS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Python, C++, C, Java, SQL, TypeScript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Machine Learning: </w:t>
      </w:r>
      <w:r>
        <w:rPr>
          <w:rFonts w:ascii="Calibri" w:cs="Calibri" w:eastAsia="Calibri" w:hAnsi="Calibri"/>
          <w:sz w:val="20"/>
          <w:szCs w:val="20"/>
        </w:rPr>
        <w:t xml:space="preserve">PyTorch, TensorFlow/Keras, scikit-learn, XGBoost, PyTorch Geometric, graph neural networks, attention models, diffusion models, time-series forecasting, Riemannian (SPD) methods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LLMs and Agents: </w:t>
      </w:r>
      <w:r>
        <w:rPr>
          <w:rFonts w:ascii="Calibri" w:cs="Calibri" w:eastAsia="Calibri" w:hAnsi="Calibri"/>
          <w:sz w:val="20"/>
          <w:szCs w:val="20"/>
        </w:rPr>
        <w:t xml:space="preserve">RAG, LangGraph, vector search (pgvector, Azure AI Search), local LLMs (Qwen, Gemma), retrieval and groundedness evaluation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Statistics and Evaluation: </w:t>
      </w:r>
      <w:r>
        <w:rPr>
          <w:rFonts w:ascii="Calibri" w:cs="Calibri" w:eastAsia="Calibri" w:hAnsi="Calibri"/>
          <w:sz w:val="20"/>
          <w:szCs w:val="20"/>
        </w:rPr>
        <w:t xml:space="preserve">conformal prediction, calibration, causal inference (Double ML), hypothesis testing, Bayesian optimization, multi-objective optimization (NSGA-III)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Engineering: </w:t>
      </w:r>
      <w:r>
        <w:rPr>
          <w:rFonts w:ascii="Calibri" w:cs="Calibri" w:eastAsia="Calibri" w:hAnsi="Calibri"/>
          <w:sz w:val="20"/>
          <w:szCs w:val="20"/>
        </w:rPr>
        <w:t xml:space="preserve">FastAPI, React, PostgreSQL, Docker, Git, GitHub Actions, Linux, pytest</w:t>
      </w:r>
    </w:p>
    <w:p>
      <w:pPr>
        <w:pBdr>
          <w:bottom w:val="single" w:color="000000" w:sz="6" w:space="1"/>
        </w:pBdr>
        <w:spacing w:after="5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PROJECTS</w:t>
      </w:r>
    </w:p>
    <w:p>
      <w:pPr>
        <w:tabs>
          <w:tab w:val="right" w:pos="10760"/>
        </w:tabs>
        <w:spacing w:after="2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DelegNet: Malicious Crypto-Wallet Delegation Detection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Python, PyTorch, Temporal GNNs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Built a bytecode-only detector for malicious Ethereum EIP-7702 delegations that removes attacker code disguises and scores contracts against known theft patterns; released a labelled dataset of 637,846 real authorizations.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On unseen contract families, kept 0.984 recall under every evasion attack with a 0.16% false-alarm rate, while temporal GNN baselines lost up to 77% recall.</w:t>
      </w:r>
    </w:p>
    <w:p>
      <w:pPr>
        <w:tabs>
          <w:tab w:val="right" w:pos="10760"/>
        </w:tabs>
        <w:spacing w:after="2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Cross-Task EEG Mental-Workload Decoding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Python, Riemannian ML, PyTorch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Showed workload decoders fall from 0.83-0.97 AUC on the trained task to 0.71 or lower on a new task; built a population low-rank decoder with self-training that reached 0.75 / 0.90 AUC, outperforming CORAL, Group-DRO and subject-specific baselines.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Discovered that 8 participant IDs in the public COG-BCI EEG dataset contain identical recordings and released a reproducible audit tool.</w:t>
      </w:r>
    </w:p>
    <w:p>
      <w:pPr>
        <w:tabs>
          <w:tab w:val="right" w:pos="10760"/>
        </w:tabs>
        <w:spacing w:after="2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INTERVENE: Graph Attention for Lung-Cancer Relapse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PyTorch, Survival Analysis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Designed graph-sparse attention over biological modules that identified a relapse signature with C-index 0.76 (vs 0.70 baseline, 0.50 permutation null), validated with ablations, multi-seed stability and 4 external cohorts.</w:t>
      </w:r>
    </w:p>
    <w:p>
      <w:pPr>
        <w:tabs>
          <w:tab w:val="right" w:pos="10760"/>
        </w:tabs>
        <w:spacing w:after="2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Curvature-Constrained Latent Diffusion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PyTorch, Diffusion Models, Topology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Built a latent diffusion model for medical polyp masks with curvature guidance and topology projection, reducing topological (Betti/Euler) error from 1.48 to 0 with 99.7% area-target success.</w:t>
      </w:r>
    </w:p>
    <w:p>
      <w:pPr>
        <w:tabs>
          <w:tab w:val="right" w:pos="10760"/>
        </w:tabs>
        <w:spacing w:after="2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TransferGuard: Source Localization in Evolving Networks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Temporal GNNs, Conformal Prediction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Combined temporal encoders with selectively admitted network-growth priors across 480 graph regimes and 1.19M IoT-23 events, improving low-evidence ranking (MRR +0.027 in the reliable subgroup) and documenting where fusion hurts.</w:t>
      </w:r>
    </w:p>
    <w:p>
      <w:pPr>
        <w:tabs>
          <w:tab w:val="right" w:pos="10760"/>
        </w:tabs>
        <w:spacing w:after="2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Enterprise Knowledge Copilot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FastAPI, React, Azure AI Search, Docker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Built a governed hybrid-RAG platform with role-aware access, citation-grounded answers and unsupported-claim detection, evaluated with Hit@K, MRR, latency and groundedness.</w:t>
      </w:r>
    </w:p>
    <w:p>
      <w:pPr>
        <w:tabs>
          <w:tab w:val="right" w:pos="10760"/>
        </w:tabs>
        <w:spacing w:after="2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PIRGE-CodeGuard: Safety Layer for Coding Agents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Python, LLM Agents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Converted coding-agent actions into provenance-checked warrants before execution; on real Qwen Coder traces it blocked all 16 risky actions and executed all 7 safe ones.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Additional projects: </w:t>
      </w:r>
      <w:r>
        <w:rPr>
          <w:rFonts w:ascii="Calibri" w:cs="Calibri" w:eastAsia="Calibri" w:hAnsi="Calibri"/>
          <w:sz w:val="20"/>
          <w:szCs w:val="20"/>
        </w:rPr>
        <w:t xml:space="preserve">ClearDue (agentic finance operations, LangGraph), QCertRoute (shot-adaptive quantum expert routing), CarbonTwin-R (causal digital twin, conformal uncertainty), Graph-Spectral Early-Warning Signals, MethaneTwin-R, chaosctl (AI chaos engineering, Bosch hackathon), GLUCO-ADAPT. Code: github.com/Kxvya18</w:t>
      </w:r>
    </w:p>
    <w:p>
      <w:pPr>
        <w:pBdr>
          <w:bottom w:val="single" w:color="000000" w:sz="6" w:space="1"/>
        </w:pBdr>
        <w:spacing w:after="5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RESEARCH MANUSCRIPTS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Contextualization-Aware Adapter Placement for Sampling-Rate Transfer in Wearable Machine Learning (manuscript).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Curvature-Audited Boltzmann Evidence for Source Localization in Evolving Networks; Shot-Adaptive Quantum Expert Routing with Certified Top-Ten Decisions (manuscripts in preparation).</w:t>
      </w:r>
    </w:p>
    <w:p>
      <w:pPr>
        <w:pBdr>
          <w:bottom w:val="single" w:color="000000" w:sz="6" w:space="1"/>
        </w:pBdr>
        <w:spacing w:after="5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EDUCATION</w:t>
      </w:r>
    </w:p>
    <w:p>
      <w:pPr>
        <w:tabs>
          <w:tab w:val="right" w:pos="10760"/>
        </w:tabs>
        <w:spacing w:after="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Manipal Institute of Technology, Bengaluru</w:t>
      </w:r>
      <w:r>
        <w:rPr>
          <w:rFonts w:ascii="Calibri" w:cs="Calibri" w:eastAsia="Calibri" w:hAnsi="Calibri"/>
          <w:sz w:val="20"/>
          <w:szCs w:val="20"/>
        </w:rPr>
        <w:t xml:space="preserve">	2023 - 2027</w:t>
      </w:r>
    </w:p>
    <w:p>
      <w:p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B.Tech, Computer Science (Data Science)  |  CGPA 9.08 / 10 (through 6th semester)</w:t>
      </w:r>
    </w:p>
    <w:p>
      <w:p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Pre-University, Science, Deeksha Centre for Learning (96%)  |  Secondary, Apollo National Public School (96%)</w:t>
      </w:r>
    </w:p>
    <w:p>
      <w:pPr>
        <w:pBdr>
          <w:bottom w:val="single" w:color="000000" w:sz="6" w:space="1"/>
        </w:pBdr>
        <w:spacing w:after="5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CERTIFICATIONS</w:t>
      </w:r>
    </w:p>
    <w:p>
      <w:p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Deep Learning Specialization (Coursera)  |  IBM Machine Learning (Coursera)  |  IBM Enterprise-Grade AI and Cloud Solutions  |  TensorFlow for AI (Coursera)</w:t>
      </w:r>
    </w:p>
    <w:sectPr>
      <w:pgSz w:w="11906" w:h="16838" w:orient="portrait"/>
      <w:pgMar w:top="570" w:right="570" w:bottom="570" w:left="57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Kavya Kalavala - Resume</dc:title>
  <dc:creator>Kavya Kalavala</dc:creator>
  <cp:lastModifiedBy>Un-named</cp:lastModifiedBy>
  <cp:revision>1</cp:revision>
  <dcterms:created xsi:type="dcterms:W3CDTF">2026-10-11T14:08:16.395Z</dcterms:created>
  <dcterms:modified xsi:type="dcterms:W3CDTF">2026-10-11T14:08:16.399Z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