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COM-03</w:t>
      </w:r>
    </w:p>
    <w:p>
      <w:pPr>
        <w:pStyle w:val="Title"/>
        <w:spacing w:after="100"/>
      </w:pPr>
      <w:r>
        <w:t>Equipo Organizado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Combo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Paquete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Un conjunto para ordenar colaboración, captura de información y coordinación de turnos o reuniones.</w:t>
      </w:r>
    </w:p>
    <w:p>
      <w:pPr>
        <w:pStyle w:val="Heading2"/>
      </w:pPr>
      <w:r>
        <w:t>¿Para quién es?</w:t>
      </w:r>
    </w:p>
    <w:p>
      <w:r>
        <w:t>Equipos que quieren reducir mensajes dispersos y tareas administrativas repetitivas.</w:t>
      </w:r>
    </w:p>
    <w:p>
      <w:pPr>
        <w:pStyle w:val="Heading2"/>
      </w:pPr>
      <w:r>
        <w:t>¿Qué problema ayuda a resolver?</w:t>
      </w:r>
    </w:p>
    <w:p>
      <w:r>
        <w:t>Agrupa servicios que funcionan mejor cuando se diseñan como una solución coordinada y evita contratarlos de manera aislada sin considerar sus dependencias.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Revisión inicial para confirmar que el combo corresponde al caso.</w:t>
      </w:r>
    </w:p>
    <w:p>
      <w:pPr>
        <w:pStyle w:val="ListBullet"/>
        <w:spacing w:after="30"/>
      </w:pPr>
      <w:r>
        <w:t>Coordinación de los servicios incluidos bajo una única solución.</w:t>
      </w:r>
    </w:p>
    <w:p>
      <w:pPr>
        <w:pStyle w:val="ListBullet"/>
        <w:spacing w:after="30"/>
      </w:pPr>
      <w:r>
        <w:t>Definición de orden de trabajo y validaciones.</w:t>
      </w:r>
    </w:p>
    <w:p>
      <w:pPr>
        <w:pStyle w:val="ListBullet"/>
        <w:spacing w:after="30"/>
      </w:pPr>
      <w:r>
        <w:t>Aplicación del alcance estándar de cada componente.</w:t>
      </w:r>
    </w:p>
    <w:p>
      <w:pPr>
        <w:pStyle w:val="Heading2"/>
      </w:pPr>
      <w:r>
        <w:t>Servicios incluidos</w:t>
      </w:r>
    </w:p>
    <w:p>
      <w:pPr>
        <w:pStyle w:val="ListBullet"/>
        <w:spacing w:after="30"/>
      </w:pPr>
      <w:r>
        <w:t>PROD-03 Colaboración de equipos</w:t>
      </w:r>
    </w:p>
    <w:p>
      <w:pPr>
        <w:pStyle w:val="ListBullet"/>
        <w:spacing w:after="30"/>
      </w:pPr>
      <w:r>
        <w:t>PROD-05 Formularios digitales</w:t>
      </w:r>
    </w:p>
    <w:p>
      <w:pPr>
        <w:pStyle w:val="ListBullet"/>
        <w:spacing w:after="30"/>
      </w:pPr>
      <w:r>
        <w:t>PROD-06 Agenda y reservas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Información y accesos solicitados por cada servicio incluido.</w:t>
      </w:r>
    </w:p>
    <w:p>
      <w:pPr>
        <w:pStyle w:val="ListBullet"/>
        <w:spacing w:after="30"/>
      </w:pPr>
      <w:r>
        <w:t>Una persona responsable para validar decisiones.</w:t>
      </w:r>
    </w:p>
    <w:p>
      <w:pPr>
        <w:pStyle w:val="ListBullet"/>
        <w:spacing w:after="30"/>
      </w:pPr>
      <w:r>
        <w:t>Contenidos y datos necesarios para comenzar.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No agrega funciones que estén fuera de los servicios incluidos.</w:t>
      </w:r>
    </w:p>
    <w:p>
      <w:pPr>
        <w:pStyle w:val="ListBullet"/>
        <w:spacing w:after="30"/>
      </w:pPr>
      <w:r>
        <w:t>Los límites particulares de cada componente siguen vigentes.</w:t>
      </w:r>
    </w:p>
    <w:p>
      <w:pPr>
        <w:pStyle w:val="ListBullet"/>
        <w:spacing w:after="30"/>
      </w:pPr>
      <w:r>
        <w:t>Cambios de alcance pueden requerir una propuesta adicional.</w:t>
      </w:r>
    </w:p>
    <w:p>
      <w:pPr>
        <w:pStyle w:val="ListBullet"/>
        <w:spacing w:after="30"/>
      </w:pPr>
      <w:r>
        <w:t>Regla comercial: Microsoft o Google.</w:t>
      </w:r>
    </w:p>
    <w:p>
      <w:pPr>
        <w:pStyle w:val="Heading2"/>
      </w:pPr>
      <w:r>
        <w:t>Resultado esperado</w:t>
      </w:r>
    </w:p>
    <w:p>
      <w:r>
        <w:t>Una solución coordinada que reúne los componentes del combo y deja una base más completa que cada servicio por separado.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Servicios adicionales del catálogo cuando exista una necesidad fuera del combo.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