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PROD-01</w:t>
      </w:r>
    </w:p>
    <w:p>
      <w:pPr>
        <w:pStyle w:val="Title"/>
        <w:spacing w:after="100"/>
      </w:pPr>
      <w:r>
        <w:t>Productividad Empresarial Esencial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Productividad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Configuración inicial de un entorno de productividad para un equipo pequeño.</w:t>
      </w:r>
    </w:p>
    <w:p>
      <w:pPr>
        <w:pStyle w:val="Heading2"/>
      </w:pPr>
      <w:r>
        <w:t>¿Para quién es?</w:t>
      </w:r>
    </w:p>
    <w:p>
      <w:r>
        <w:t>Empresas de hasta 3 usuarios que necesitan empezar con Microsoft 365 o Google Workspace de forma ordenada.</w:t>
      </w:r>
    </w:p>
    <w:p>
      <w:pPr>
        <w:pStyle w:val="Heading2"/>
      </w:pPr>
      <w:r>
        <w:t>¿Qué problema ayuda a resolver?</w:t>
      </w:r>
    </w:p>
    <w:p>
      <w:r>
        <w:t>Evita cuentas dispersas, configuraciones inconsistentes y un inicio improvisado.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Puesta en marcha estándar para hasta 3 usuarios.</w:t>
      </w:r>
    </w:p>
    <w:p>
      <w:pPr>
        <w:pStyle w:val="ListBullet"/>
        <w:spacing w:after="30"/>
      </w:pPr>
      <w:r>
        <w:t>Configuraciones básicas del entorno elegido.</w:t>
      </w:r>
    </w:p>
    <w:p>
      <w:pPr>
        <w:pStyle w:val="ListBullet"/>
        <w:spacing w:after="30"/>
      </w:pPr>
      <w:r>
        <w:t>Organización inicial de acceso y uso.</w:t>
      </w:r>
    </w:p>
    <w:p>
      <w:pPr>
        <w:pStyle w:val="ListBullet"/>
        <w:spacing w:after="30"/>
      </w:pPr>
      <w:r>
        <w:t>Orientación breve para comenzar.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Dominio y cuentas disponibles.</w:t>
      </w:r>
    </w:p>
    <w:p>
      <w:pPr>
        <w:pStyle w:val="ListBullet"/>
        <w:spacing w:after="30"/>
      </w:pPr>
      <w:r>
        <w:t>Datos de las personas usuarias.</w:t>
      </w:r>
    </w:p>
    <w:p>
      <w:pPr>
        <w:pStyle w:val="ListBullet"/>
        <w:spacing w:after="30"/>
      </w:pPr>
      <w:r>
        <w:t>Decisión de plataforma o apertura para definirla.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3 usuarios; +USD 35.</w:t>
      </w:r>
    </w:p>
    <w:p>
      <w:pPr>
        <w:pStyle w:val="ListBullet"/>
        <w:spacing w:after="30"/>
      </w:pPr>
      <w:r>
        <w:t>Licencias y suscripciones.</w:t>
      </w:r>
    </w:p>
    <w:p>
      <w:pPr>
        <w:pStyle w:val="ListBullet"/>
        <w:spacing w:after="30"/>
      </w:pPr>
      <w:r>
        <w:t>Migraciones de correo o archivos.</w:t>
      </w:r>
    </w:p>
    <w:p>
      <w:pPr>
        <w:pStyle w:val="ListBullet"/>
        <w:spacing w:after="30"/>
      </w:pPr>
      <w:r>
        <w:t>Configuraciones avanzadas o integraciones.</w:t>
      </w:r>
    </w:p>
    <w:p>
      <w:pPr>
        <w:pStyle w:val="ListBullet"/>
        <w:spacing w:after="30"/>
      </w:pPr>
      <w:r>
        <w:t>Condición registrada en la matriz: Sin licencias/migraciones.</w:t>
      </w:r>
    </w:p>
    <w:p>
      <w:pPr>
        <w:pStyle w:val="Heading2"/>
      </w:pPr>
      <w:r>
        <w:t>Resultado esperado</w:t>
      </w:r>
    </w:p>
    <w:p>
      <w:r>
        <w:t>Un entorno básico preparado para que el equipo empiece a trabajar de forma ordenada.</w:t>
      </w:r>
    </w:p>
    <w:p>
      <w:pPr>
        <w:pStyle w:val="Heading2"/>
      </w:pPr>
      <w:r>
        <w:t>Entorno previsto</w:t>
      </w:r>
    </w:p>
    <w:p>
      <w:r>
        <w:t>Microsoft / Google.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PROD-02 Usuario adicional</w:t>
      </w:r>
    </w:p>
    <w:p>
      <w:pPr>
        <w:pStyle w:val="ListBullet"/>
        <w:spacing w:after="30"/>
      </w:pPr>
      <w:r>
        <w:t>PROD-04 Organización de archivos compartidos</w:t>
      </w:r>
    </w:p>
    <w:p>
      <w:pPr>
        <w:pStyle w:val="ListBullet"/>
        <w:spacing w:after="30"/>
      </w:pPr>
      <w:r>
        <w:t>PROD-08 Capacitación en Productividad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