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5637FF"/>
          <w:sz w:val="16"/>
        </w:rPr>
        <w:t>KYTECH · CATÁLOGO DE SERVICIOS</w:t>
      </w:r>
    </w:p>
    <w:p>
      <w:pPr>
        <w:pStyle w:val="Subtitle"/>
      </w:pPr>
      <w:r>
        <w:rPr>
          <w:b/>
          <w:color w:val="5637FF"/>
        </w:rPr>
        <w:t>PROD-03</w:t>
      </w:r>
    </w:p>
    <w:p>
      <w:pPr>
        <w:pStyle w:val="Title"/>
        <w:spacing w:after="100"/>
      </w:pPr>
      <w:r>
        <w:t>Colaboración de equipos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F3F0FF"/>
          </w:tcPr>
          <w:p>
            <w:r>
              <w:rPr>
                <w:b/>
              </w:rPr>
              <w:t>Categoría</w:t>
              <w:br/>
            </w:r>
            <w:r>
              <w:t>Productividad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Modalidad</w:t>
              <w:br/>
            </w:r>
            <w:r>
              <w:t>Proyecto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Estado</w:t>
              <w:br/>
            </w:r>
            <w:r>
              <w:t>Activo</w:t>
            </w:r>
          </w:p>
        </w:tc>
      </w:tr>
    </w:tbl>
    <w:p>
      <w:r>
        <w:rPr>
          <w:color w:val="62697A"/>
          <w:sz w:val="22"/>
        </w:rPr>
        <w:t>Organización de un espacio de trabajo compartido para que el equipo colabore con mayor claridad.</w:t>
      </w:r>
    </w:p>
    <w:p>
      <w:pPr>
        <w:pStyle w:val="Heading2"/>
      </w:pPr>
      <w:r>
        <w:t>¿Para quién es?</w:t>
      </w:r>
    </w:p>
    <w:p>
      <w:r>
        <w:t>Equipos de hasta 5 usuarios que hoy dependen de chats, archivos duplicados o información dispersa.</w:t>
      </w:r>
    </w:p>
    <w:p>
      <w:pPr>
        <w:pStyle w:val="Heading2"/>
      </w:pPr>
      <w:r>
        <w:t>¿Qué problema ayuda a resolver?</w:t>
      </w:r>
    </w:p>
    <w:p>
      <w:r>
        <w:t>Define un lugar común y reglas simples para trabajar en equipo.</w:t>
      </w:r>
    </w:p>
    <w:p>
      <w:pPr>
        <w:pStyle w:val="Heading2"/>
      </w:pPr>
      <w:r>
        <w:t>¿Qué comprende?</w:t>
      </w:r>
    </w:p>
    <w:p>
      <w:pPr>
        <w:pStyle w:val="ListBullet"/>
        <w:spacing w:after="30"/>
      </w:pPr>
      <w:r>
        <w:t>Espacio principal de colaboración.</w:t>
      </w:r>
    </w:p>
    <w:p>
      <w:pPr>
        <w:pStyle w:val="ListBullet"/>
        <w:spacing w:after="30"/>
      </w:pPr>
      <w:r>
        <w:t>Organización básica de canales, áreas o grupos.</w:t>
      </w:r>
    </w:p>
    <w:p>
      <w:pPr>
        <w:pStyle w:val="ListBullet"/>
        <w:spacing w:after="30"/>
      </w:pPr>
      <w:r>
        <w:t>Accesos para hasta 5 usuarios.</w:t>
      </w:r>
    </w:p>
    <w:p>
      <w:pPr>
        <w:pStyle w:val="ListBullet"/>
        <w:spacing w:after="30"/>
      </w:pPr>
      <w:r>
        <w:t>Criterios iniciales de uso.</w:t>
      </w:r>
    </w:p>
    <w:p>
      <w:pPr>
        <w:pStyle w:val="Heading2"/>
      </w:pPr>
      <w:r>
        <w:t>Qué necesita aportar el cliente</w:t>
      </w:r>
    </w:p>
    <w:p>
      <w:pPr>
        <w:pStyle w:val="ListBullet"/>
        <w:spacing w:after="30"/>
      </w:pPr>
      <w:r>
        <w:t>Personas participantes.</w:t>
      </w:r>
    </w:p>
    <w:p>
      <w:pPr>
        <w:pStyle w:val="ListBullet"/>
        <w:spacing w:after="30"/>
      </w:pPr>
      <w:r>
        <w:t>Tipos de trabajo y temas que necesita organizar el equipo.</w:t>
      </w:r>
    </w:p>
    <w:p>
      <w:pPr>
        <w:pStyle w:val="ListBullet"/>
        <w:spacing w:after="30"/>
      </w:pPr>
      <w:r>
        <w:t>Decisiones sobre quién accede a cada espacio.</w:t>
      </w:r>
    </w:p>
    <w:p>
      <w:pPr>
        <w:pStyle w:val="Heading2"/>
      </w:pPr>
      <w:r>
        <w:t>Límites importantes</w:t>
      </w:r>
    </w:p>
    <w:p>
      <w:pPr>
        <w:pStyle w:val="ListBullet"/>
        <w:spacing w:after="30"/>
      </w:pPr>
      <w:r>
        <w:t>Alcance de referencia del catálogo: Hasta 5 usuarios.</w:t>
      </w:r>
    </w:p>
    <w:p>
      <w:pPr>
        <w:pStyle w:val="ListBullet"/>
        <w:spacing w:after="30"/>
      </w:pPr>
      <w:r>
        <w:t>Migración masiva de información.</w:t>
      </w:r>
    </w:p>
    <w:p>
      <w:pPr>
        <w:pStyle w:val="ListBullet"/>
        <w:spacing w:after="30"/>
      </w:pPr>
      <w:r>
        <w:t>Automatizaciones o integraciones.</w:t>
      </w:r>
    </w:p>
    <w:p>
      <w:pPr>
        <w:pStyle w:val="ListBullet"/>
        <w:spacing w:after="30"/>
      </w:pPr>
      <w:r>
        <w:t>Diseño de intranet compleja.</w:t>
      </w:r>
    </w:p>
    <w:p>
      <w:pPr>
        <w:pStyle w:val="Heading2"/>
      </w:pPr>
      <w:r>
        <w:t>Resultado esperado</w:t>
      </w:r>
    </w:p>
    <w:p>
      <w:r>
        <w:t>Un espacio compartido más claro para conversaciones, archivos y coordinación.</w:t>
      </w:r>
    </w:p>
    <w:p>
      <w:pPr>
        <w:pStyle w:val="Heading2"/>
      </w:pPr>
      <w:r>
        <w:t>Entorno previsto</w:t>
      </w:r>
    </w:p>
    <w:p>
      <w:r>
        <w:t>Microsoft / Google. La plataforma o herramienta concreta se confirma antes de comenzar.</w:t>
      </w:r>
    </w:p>
    <w:p>
      <w:pPr>
        <w:pStyle w:val="Heading2"/>
      </w:pPr>
      <w:r>
        <w:t>Puede complementarse con</w:t>
      </w:r>
    </w:p>
    <w:p>
      <w:pPr>
        <w:pStyle w:val="ListBullet"/>
        <w:spacing w:after="30"/>
      </w:pPr>
      <w:r>
        <w:t>PROD-04 Organización de archivos compartidos</w:t>
      </w:r>
    </w:p>
    <w:p>
      <w:pPr>
        <w:pStyle w:val="ListBullet"/>
        <w:spacing w:after="30"/>
      </w:pPr>
      <w:r>
        <w:t>PROD-08 Capacitación en Productividad</w:t>
      </w:r>
    </w:p>
    <w:p>
      <w:pPr>
        <w:pStyle w:val="ListBullet"/>
        <w:spacing w:after="30"/>
      </w:pPr>
      <w:r>
        <w:t>COM-03 Equipo Organizado</w:t>
      </w:r>
    </w:p>
    <w:p>
      <w:pPr>
        <w:pBdr>
          <w:bottom w:val="single" w:sz="10" w:color="17795C"/>
        </w:pBdr>
      </w:pPr>
    </w:p>
    <w:p>
      <w:r>
        <w:rPr>
          <w:b/>
          <w:color w:val="5637FF"/>
        </w:rPr>
        <w:t>Nota comercial</w:t>
      </w:r>
    </w:p>
    <w:p>
      <w:r>
        <w:t>Esta guía describe el alcance estándar del catálogo. La propuesta final puede requerir confirmación de disponibilidad, accesos, contenidos y condiciones particulares antes de iniciar.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637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182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8182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