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SUP-02</w:t>
      </w:r>
    </w:p>
    <w:p>
      <w:pPr>
        <w:pStyle w:val="Title"/>
        <w:spacing w:after="100"/>
      </w:pPr>
      <w:r>
        <w:t>Bolsa 5 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Soporte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Bolsa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Cinco horas prepagas para resolver varias necesidades de soporte dentro de un período definido.</w:t>
      </w:r>
    </w:p>
    <w:p>
      <w:pPr>
        <w:pStyle w:val="Heading2"/>
      </w:pPr>
      <w:r>
        <w:t>¿Para quién es?</w:t>
      </w:r>
    </w:p>
    <w:p>
      <w:r>
        <w:t>Negocios con ajustes ocasionales que necesitan más margen que una consulta puntual.</w:t>
      </w:r>
    </w:p>
    <w:p>
      <w:pPr>
        <w:pStyle w:val="Heading2"/>
      </w:pPr>
      <w:r>
        <w:t>¿Qué problema ayuda a resolver?</w:t>
      </w:r>
    </w:p>
    <w:p>
      <w:r>
        <w:t>Permite usar horas según prioridades sin contratar un plan mensual.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Bolsa total de 5 horas.</w:t>
      </w:r>
    </w:p>
    <w:p>
      <w:pPr>
        <w:pStyle w:val="ListBullet"/>
        <w:spacing w:after="30"/>
      </w:pPr>
      <w:r>
        <w:t>Vigencia de 90 días.</w:t>
      </w:r>
    </w:p>
    <w:p>
      <w:pPr>
        <w:pStyle w:val="ListBullet"/>
        <w:spacing w:after="30"/>
      </w:pPr>
      <w:r>
        <w:t>Coordinación y registro básico del consumo.</w:t>
      </w:r>
    </w:p>
    <w:p>
      <w:pPr>
        <w:pStyle w:val="ListBullet"/>
        <w:spacing w:after="30"/>
      </w:pPr>
      <w:r>
        <w:t>Atención de tareas compatibles con el alcance de soporte.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Listado priorizado de solicitudes.</w:t>
      </w:r>
    </w:p>
    <w:p>
      <w:pPr>
        <w:pStyle w:val="ListBullet"/>
        <w:spacing w:after="30"/>
      </w:pPr>
      <w:r>
        <w:t>Accesos y responsables disponibles.</w:t>
      </w:r>
    </w:p>
    <w:p>
      <w:pPr>
        <w:pStyle w:val="ListBullet"/>
        <w:spacing w:after="30"/>
      </w:pPr>
      <w:r>
        <w:t>Validación de cada tarea.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Vigencia 90 días.</w:t>
      </w:r>
    </w:p>
    <w:p>
      <w:pPr>
        <w:pStyle w:val="ListBullet"/>
        <w:spacing w:after="30"/>
      </w:pPr>
      <w:r>
        <w:t>Disponibilidad inmediata permanente.</w:t>
      </w:r>
    </w:p>
    <w:p>
      <w:pPr>
        <w:pStyle w:val="ListBullet"/>
        <w:spacing w:after="30"/>
      </w:pPr>
      <w:r>
        <w:t>Proyectos con alcance propio.</w:t>
      </w:r>
    </w:p>
    <w:p>
      <w:pPr>
        <w:pStyle w:val="ListBullet"/>
        <w:spacing w:after="30"/>
      </w:pPr>
      <w:r>
        <w:t>Horas adicionales o uso después de la vigencia.</w:t>
      </w:r>
    </w:p>
    <w:p>
      <w:pPr>
        <w:pStyle w:val="Heading2"/>
      </w:pPr>
      <w:r>
        <w:t>Resultado esperado</w:t>
      </w:r>
    </w:p>
    <w:p>
      <w:r>
        <w:t>Un bloque flexible de soporte para atender varias tareas acotadas.</w:t>
      </w:r>
    </w:p>
    <w:p>
      <w:pPr>
        <w:pStyle w:val="Heading2"/>
      </w:pPr>
      <w:r>
        <w:t>Entorno previsto</w:t>
      </w:r>
    </w:p>
    <w:p>
      <w:r>
        <w:t>Microsoft / Google.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SUP-01 Soporte puntual</w:t>
      </w:r>
    </w:p>
    <w:p>
      <w:pPr>
        <w:pStyle w:val="ListBullet"/>
        <w:spacing w:after="30"/>
      </w:pPr>
      <w:r>
        <w:t>SUP-05 Soporte de Productividad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