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AI-01</w:t>
      </w:r>
    </w:p>
    <w:p>
      <w:pPr>
        <w:pStyle w:val="Title"/>
        <w:spacing w:after="100"/>
      </w:pPr>
      <w:r>
        <w:t>IA Empresarial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IA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Proyecto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Sujeto a disponibilidad</w:t>
            </w:r>
          </w:p>
        </w:tc>
      </w:tr>
    </w:tbl>
    <w:p>
      <w:r>
        <w:rPr>
          <w:color w:val="62697A"/>
          <w:sz w:val="22"/>
        </w:rPr>
        <w:t>Puesta en marcha inicial de herramientas de IA para un equipo pequeño, con casos de uso concretos y reglas básicas.</w:t>
      </w:r>
    </w:p>
    <w:p>
      <w:pPr>
        <w:pStyle w:val="Heading2"/>
      </w:pPr>
      <w:r>
        <w:t>¿Para quién es?</w:t>
      </w:r>
    </w:p>
    <w:p>
      <w:r>
        <w:t>Empresas que quieren comenzar con Copilot o Gemini sin lanzar un proyecto complejo.</w:t>
      </w:r>
    </w:p>
    <w:p>
      <w:pPr>
        <w:pStyle w:val="Heading2"/>
      </w:pPr>
      <w:r>
        <w:t>¿Qué problema ayuda a resolver?</w:t>
      </w:r>
    </w:p>
    <w:p>
      <w:r>
        <w:t>Evita adoptar IA sin objetivos, criterios de revisión o usos claros.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Hasta 3 usuarios.</w:t>
      </w:r>
    </w:p>
    <w:p>
      <w:pPr>
        <w:pStyle w:val="ListBullet"/>
        <w:spacing w:after="30"/>
      </w:pPr>
      <w:r>
        <w:t>Definición de casos de uso iniciales.</w:t>
      </w:r>
    </w:p>
    <w:p>
      <w:pPr>
        <w:pStyle w:val="ListBullet"/>
        <w:spacing w:after="30"/>
      </w:pPr>
      <w:r>
        <w:t>Configuración y orientación básica dentro de la herramienta elegida.</w:t>
      </w:r>
    </w:p>
    <w:p>
      <w:pPr>
        <w:pStyle w:val="ListBullet"/>
        <w:spacing w:after="30"/>
      </w:pPr>
      <w:r>
        <w:t>Buenas prácticas de revisión humana y uso responsable.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Herramienta y licencias disponibles.</w:t>
      </w:r>
    </w:p>
    <w:p>
      <w:pPr>
        <w:pStyle w:val="ListBullet"/>
        <w:spacing w:after="30"/>
      </w:pPr>
      <w:r>
        <w:t>Casos de uso prioritarios.</w:t>
      </w:r>
    </w:p>
    <w:p>
      <w:pPr>
        <w:pStyle w:val="ListBullet"/>
        <w:spacing w:after="30"/>
      </w:pPr>
      <w:r>
        <w:t>Personas participantes y ejemplos reales no sensibles.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Hasta 3 usuarios.</w:t>
      </w:r>
    </w:p>
    <w:p>
      <w:pPr>
        <w:pStyle w:val="ListBullet"/>
        <w:spacing w:after="30"/>
      </w:pPr>
      <w:r>
        <w:t>Agentes, asistentes personalizados o integraciones.</w:t>
      </w:r>
    </w:p>
    <w:p>
      <w:pPr>
        <w:pStyle w:val="ListBullet"/>
        <w:spacing w:after="30"/>
      </w:pPr>
      <w:r>
        <w:t>Automatizaciones complejas.</w:t>
      </w:r>
    </w:p>
    <w:p>
      <w:pPr>
        <w:pStyle w:val="ListBullet"/>
        <w:spacing w:after="30"/>
      </w:pPr>
      <w:r>
        <w:t>Garantía de resultados sin participación y revisión humana.</w:t>
      </w:r>
    </w:p>
    <w:p>
      <w:pPr>
        <w:pStyle w:val="ListBullet"/>
        <w:spacing w:after="30"/>
      </w:pPr>
      <w:r>
        <w:t>Condición registrada en la matriz: Sin agentes.</w:t>
      </w:r>
    </w:p>
    <w:p>
      <w:pPr>
        <w:pStyle w:val="Heading2"/>
      </w:pPr>
      <w:r>
        <w:t>Resultado esperado</w:t>
      </w:r>
    </w:p>
    <w:p>
      <w:r>
        <w:t>Un inicio controlado con casos concretos y criterios comunes de uso.</w:t>
      </w:r>
    </w:p>
    <w:p>
      <w:pPr>
        <w:pStyle w:val="Heading2"/>
      </w:pPr>
      <w:r>
        <w:t>Entorno previsto</w:t>
      </w:r>
    </w:p>
    <w:p>
      <w:r>
        <w:t>Copilot / Gemini.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AI-02 Diagnóstico de IA</w:t>
      </w:r>
    </w:p>
    <w:p>
      <w:pPr>
        <w:pStyle w:val="ListBullet"/>
        <w:spacing w:after="30"/>
      </w:pPr>
      <w:r>
        <w:t>AI-03 Capacitación práctica en IA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