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AI-03</w:t>
      </w:r>
    </w:p>
    <w:p>
      <w:pPr>
        <w:pStyle w:val="Title"/>
        <w:spacing w:after="100"/>
      </w:pPr>
      <w:r>
        <w:t>Capacitación práctica en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IA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Capacitación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Capacitación práctica para incorporar IA en tareas cotidianas con revisión y criterio.</w:t>
      </w:r>
    </w:p>
    <w:p>
      <w:pPr>
        <w:pStyle w:val="Heading2"/>
      </w:pPr>
      <w:r>
        <w:t>¿Para quién es?</w:t>
      </w:r>
    </w:p>
    <w:p>
      <w:r>
        <w:t>Equipos de hasta 5 personas que ya cuentan con Copilot o Gemini y quieren utilizarlos mejor.</w:t>
      </w:r>
    </w:p>
    <w:p>
      <w:pPr>
        <w:pStyle w:val="Heading2"/>
      </w:pPr>
      <w:r>
        <w:t>¿Qué problema ayuda a resolver?</w:t>
      </w:r>
    </w:p>
    <w:p>
      <w:r>
        <w:t>Reduce pruebas aisladas y ayuda a establecer una forma común de trabajar con IA.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Sesión de 60 minutos.</w:t>
      </w:r>
    </w:p>
    <w:p>
      <w:pPr>
        <w:pStyle w:val="ListBullet"/>
        <w:spacing w:after="30"/>
      </w:pPr>
      <w:r>
        <w:t>Hasta 5 participantes.</w:t>
      </w:r>
    </w:p>
    <w:p>
      <w:pPr>
        <w:pStyle w:val="ListBullet"/>
        <w:spacing w:after="30"/>
      </w:pPr>
      <w:r>
        <w:t>Ejemplos prácticos acordados.</w:t>
      </w:r>
    </w:p>
    <w:p>
      <w:pPr>
        <w:pStyle w:val="ListBullet"/>
        <w:spacing w:after="30"/>
      </w:pPr>
      <w:r>
        <w:t>Buenas prácticas para instrucciones, fuentes y revisión.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Herramienta disponible.</w:t>
      </w:r>
    </w:p>
    <w:p>
      <w:pPr>
        <w:pStyle w:val="ListBullet"/>
        <w:spacing w:after="30"/>
      </w:pPr>
      <w:r>
        <w:t>Temas o tareas prioritarias.</w:t>
      </w:r>
    </w:p>
    <w:p>
      <w:pPr>
        <w:pStyle w:val="ListBullet"/>
        <w:spacing w:after="30"/>
      </w:pPr>
      <w:r>
        <w:t>Participantes y ejemplos aptos para la sesión.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60 min; 5 personas.</w:t>
      </w:r>
    </w:p>
    <w:p>
      <w:pPr>
        <w:pStyle w:val="ListBullet"/>
        <w:spacing w:after="30"/>
      </w:pPr>
      <w:r>
        <w:t>Implementación de agentes o automatizaciones.</w:t>
      </w:r>
    </w:p>
    <w:p>
      <w:pPr>
        <w:pStyle w:val="ListBullet"/>
        <w:spacing w:after="30"/>
      </w:pPr>
      <w:r>
        <w:t>Programa formativo extenso.</w:t>
      </w:r>
    </w:p>
    <w:p>
      <w:pPr>
        <w:pStyle w:val="ListBullet"/>
        <w:spacing w:after="30"/>
      </w:pPr>
      <w:r>
        <w:t>Uso de información sensible sin controles adecuados.</w:t>
      </w:r>
    </w:p>
    <w:p>
      <w:pPr>
        <w:pStyle w:val="Heading2"/>
      </w:pPr>
      <w:r>
        <w:t>Resultado esperado</w:t>
      </w:r>
    </w:p>
    <w:p>
      <w:r>
        <w:t>Un equipo con una base práctica para usar IA con mayor claridad y responsabilidad.</w:t>
      </w:r>
    </w:p>
    <w:p>
      <w:pPr>
        <w:pStyle w:val="Heading2"/>
      </w:pPr>
      <w:r>
        <w:t>Entorno previsto</w:t>
      </w:r>
    </w:p>
    <w:p>
      <w:r>
        <w:t>Copilot / Gemini.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AI-01 IA Empresarial Inicial</w:t>
      </w:r>
    </w:p>
    <w:p>
      <w:pPr>
        <w:pStyle w:val="ListBullet"/>
        <w:spacing w:after="30"/>
      </w:pPr>
      <w:r>
        <w:t>AI-02 Diagnóstico de IA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