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5637FF"/>
          <w:sz w:val="16"/>
        </w:rPr>
        <w:t>KYTECH · CATÁLOGO DE SERVICIOS</w:t>
      </w:r>
    </w:p>
    <w:p>
      <w:pPr>
        <w:pStyle w:val="Subtitle"/>
      </w:pPr>
      <w:r>
        <w:rPr>
          <w:b/>
          <w:color w:val="5637FF"/>
        </w:rPr>
        <w:t>COM-01</w:t>
      </w:r>
    </w:p>
    <w:p>
      <w:pPr>
        <w:pStyle w:val="Title"/>
        <w:spacing w:after="100"/>
      </w:pPr>
      <w:r>
        <w:t>Presencia Digital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3F0FF"/>
          </w:tcPr>
          <w:p>
            <w:r>
              <w:rPr>
                <w:b/>
              </w:rPr>
              <w:t>Categoría</w:t>
              <w:br/>
            </w:r>
            <w:r>
              <w:t>Combo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Modalidad</w:t>
              <w:br/>
            </w:r>
            <w:r>
              <w:t>Paquete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Estado</w:t>
              <w:br/>
            </w:r>
            <w:r>
              <w:t>Activo</w:t>
            </w:r>
          </w:p>
        </w:tc>
      </w:tr>
    </w:tbl>
    <w:p>
      <w:r>
        <w:rPr>
          <w:color w:val="62697A"/>
          <w:sz w:val="22"/>
        </w:rPr>
        <w:t>Un paquete para lanzar una presencia profesional, medirla y dejar una base inicial de visibilidad.</w:t>
      </w:r>
    </w:p>
    <w:p>
      <w:pPr>
        <w:pStyle w:val="Heading2"/>
      </w:pPr>
      <w:r>
        <w:t>¿Para quién es?</w:t>
      </w:r>
    </w:p>
    <w:p>
      <w:r>
        <w:t>Negocios que necesitan resolver de forma coordinada sitio, medición y preparación para buscadores.</w:t>
      </w:r>
    </w:p>
    <w:p>
      <w:pPr>
        <w:pStyle w:val="Heading2"/>
      </w:pPr>
      <w:r>
        <w:t>¿Qué problema ayuda a resolver?</w:t>
      </w:r>
    </w:p>
    <w:p>
      <w:r>
        <w:t>Agrupa servicios que funcionan mejor cuando se diseñan como una solución coordinada y evita contratarlos de manera aislada sin considerar sus dependencias.</w:t>
      </w:r>
    </w:p>
    <w:p>
      <w:pPr>
        <w:pStyle w:val="Heading2"/>
      </w:pPr>
      <w:r>
        <w:t>¿Qué comprende?</w:t>
      </w:r>
    </w:p>
    <w:p>
      <w:pPr>
        <w:pStyle w:val="ListBullet"/>
        <w:spacing w:after="30"/>
      </w:pPr>
      <w:r>
        <w:t>Revisión inicial para confirmar que el combo corresponde al caso.</w:t>
      </w:r>
    </w:p>
    <w:p>
      <w:pPr>
        <w:pStyle w:val="ListBullet"/>
        <w:spacing w:after="30"/>
      </w:pPr>
      <w:r>
        <w:t>Coordinación de los servicios incluidos bajo una única solución.</w:t>
      </w:r>
    </w:p>
    <w:p>
      <w:pPr>
        <w:pStyle w:val="ListBullet"/>
        <w:spacing w:after="30"/>
      </w:pPr>
      <w:r>
        <w:t>Definición de orden de trabajo y validaciones.</w:t>
      </w:r>
    </w:p>
    <w:p>
      <w:pPr>
        <w:pStyle w:val="ListBullet"/>
        <w:spacing w:after="30"/>
      </w:pPr>
      <w:r>
        <w:t>Aplicación del alcance estándar de cada componente.</w:t>
      </w:r>
    </w:p>
    <w:p>
      <w:pPr>
        <w:pStyle w:val="Heading2"/>
      </w:pPr>
      <w:r>
        <w:t>Servicios incluidos</w:t>
      </w:r>
    </w:p>
    <w:p>
      <w:pPr>
        <w:pStyle w:val="ListBullet"/>
        <w:spacing w:after="30"/>
      </w:pPr>
      <w:r>
        <w:t>WEB-02 Web Esencial</w:t>
      </w:r>
    </w:p>
    <w:p>
      <w:pPr>
        <w:pStyle w:val="ListBullet"/>
        <w:spacing w:after="30"/>
      </w:pPr>
      <w:r>
        <w:t>WEB-06 Medición Web</w:t>
      </w:r>
    </w:p>
    <w:p>
      <w:pPr>
        <w:pStyle w:val="ListBullet"/>
        <w:spacing w:after="30"/>
      </w:pPr>
      <w:r>
        <w:t>WEB-08 SEO Inicial</w:t>
      </w:r>
    </w:p>
    <w:p>
      <w:pPr>
        <w:pStyle w:val="Heading2"/>
      </w:pPr>
      <w:r>
        <w:t>Qué necesita aportar el cliente</w:t>
      </w:r>
    </w:p>
    <w:p>
      <w:pPr>
        <w:pStyle w:val="ListBullet"/>
        <w:spacing w:after="30"/>
      </w:pPr>
      <w:r>
        <w:t>Información y accesos solicitados por cada servicio incluido.</w:t>
      </w:r>
    </w:p>
    <w:p>
      <w:pPr>
        <w:pStyle w:val="ListBullet"/>
        <w:spacing w:after="30"/>
      </w:pPr>
      <w:r>
        <w:t>Una persona responsable para validar decisiones.</w:t>
      </w:r>
    </w:p>
    <w:p>
      <w:pPr>
        <w:pStyle w:val="ListBullet"/>
        <w:spacing w:after="30"/>
      </w:pPr>
      <w:r>
        <w:t>Contenidos y datos necesarios para comenzar.</w:t>
      </w:r>
    </w:p>
    <w:p>
      <w:pPr>
        <w:pStyle w:val="Heading2"/>
      </w:pPr>
      <w:r>
        <w:t>Límites importantes</w:t>
      </w:r>
    </w:p>
    <w:p>
      <w:pPr>
        <w:pStyle w:val="ListBullet"/>
        <w:spacing w:after="30"/>
      </w:pPr>
      <w:r>
        <w:t>No agrega funciones que estén fuera de los servicios incluidos.</w:t>
      </w:r>
    </w:p>
    <w:p>
      <w:pPr>
        <w:pStyle w:val="ListBullet"/>
        <w:spacing w:after="30"/>
      </w:pPr>
      <w:r>
        <w:t>Los límites particulares de cada componente siguen vigentes.</w:t>
      </w:r>
    </w:p>
    <w:p>
      <w:pPr>
        <w:pStyle w:val="ListBullet"/>
        <w:spacing w:after="30"/>
      </w:pPr>
      <w:r>
        <w:t>Cambios de alcance pueden requerir una propuesta adicional.</w:t>
      </w:r>
    </w:p>
    <w:p>
      <w:pPr>
        <w:pStyle w:val="ListBullet"/>
        <w:spacing w:after="30"/>
      </w:pPr>
      <w:r>
        <w:t>Regla comercial: Con capacidad.</w:t>
      </w:r>
    </w:p>
    <w:p>
      <w:pPr>
        <w:pStyle w:val="Heading2"/>
      </w:pPr>
      <w:r>
        <w:t>Resultado esperado</w:t>
      </w:r>
    </w:p>
    <w:p>
      <w:r>
        <w:t>Una solución coordinada que reúne los componentes del combo y deja una base más completa que cada servicio por separado.</w:t>
      </w:r>
    </w:p>
    <w:p>
      <w:pPr>
        <w:pStyle w:val="Heading2"/>
      </w:pPr>
      <w:r>
        <w:t>Puede complementarse con</w:t>
      </w:r>
    </w:p>
    <w:p>
      <w:pPr>
        <w:pStyle w:val="ListBullet"/>
        <w:spacing w:after="30"/>
      </w:pPr>
      <w:r>
        <w:t>Servicios adicionales del catálogo cuando exista una necesidad fuera del combo.</w:t>
      </w:r>
    </w:p>
    <w:p>
      <w:pPr>
        <w:pBdr>
          <w:bottom w:val="single" w:sz="10" w:color="17795C"/>
        </w:pBdr>
      </w:pPr>
    </w:p>
    <w:p>
      <w:r>
        <w:rPr>
          <w:b/>
          <w:color w:val="5637FF"/>
        </w:rPr>
        <w:t>Nota comercial</w:t>
      </w:r>
    </w:p>
    <w:p>
      <w:r>
        <w:t>Esta guía describe el alcance estándar del catálogo. La propuesta final puede requerir confirmación de disponibilidad, accesos, contenidos y condiciones particulares antes de iniciar.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637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182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8182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