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PROD-02</w:t>
      </w:r>
    </w:p>
    <w:p>
      <w:pPr>
        <w:pStyle w:val="Title"/>
        <w:spacing w:after="100"/>
      </w:pPr>
      <w:r>
        <w:t>Usuario adicional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Productividad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Adicional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Alta y configuración estándar de una persona adicional dentro de un entorno ya preparado.</w:t>
      </w:r>
    </w:p>
    <w:p>
      <w:pPr>
        <w:pStyle w:val="Heading2"/>
      </w:pPr>
      <w:r>
        <w:t>¿Para quién es?</w:t>
      </w:r>
    </w:p>
    <w:p>
      <w:r>
        <w:t>Equipos que incorporan nuevas personas después de la configuración inicial.</w:t>
      </w:r>
    </w:p>
    <w:p>
      <w:pPr>
        <w:pStyle w:val="Heading2"/>
      </w:pPr>
      <w:r>
        <w:t>¿Qué problema ayuda a resolver?</w:t>
      </w:r>
    </w:p>
    <w:p>
      <w:r>
        <w:t>Reduce altas incompletas y ayuda a mantener consistencia en accesos básicos.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Creación o preparación de un usuario adicional.</w:t>
      </w:r>
    </w:p>
    <w:p>
      <w:pPr>
        <w:pStyle w:val="ListBullet"/>
        <w:spacing w:after="30"/>
      </w:pPr>
      <w:r>
        <w:t>Aplicación de configuraciones estándar ya definidas.</w:t>
      </w:r>
    </w:p>
    <w:p>
      <w:pPr>
        <w:pStyle w:val="ListBullet"/>
        <w:spacing w:after="30"/>
      </w:pPr>
      <w:r>
        <w:t>Acceso básico a herramientas y espacios acordados.</w:t>
      </w:r>
    </w:p>
    <w:p>
      <w:pPr>
        <w:pStyle w:val="ListBullet"/>
        <w:spacing w:after="30"/>
      </w:pPr>
      <w:r>
        <w:t>Comprobación inicial de ingreso.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Nombre, correo y función de la persona.</w:t>
      </w:r>
    </w:p>
    <w:p>
      <w:pPr>
        <w:pStyle w:val="ListBullet"/>
        <w:spacing w:after="30"/>
      </w:pPr>
      <w:r>
        <w:t>Licencia disponible.</w:t>
      </w:r>
    </w:p>
    <w:p>
      <w:pPr>
        <w:pStyle w:val="ListBullet"/>
        <w:spacing w:after="30"/>
      </w:pPr>
      <w:r>
        <w:t>Definición de accesos que debe recibir.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Hasta 10 usuarios.</w:t>
      </w:r>
    </w:p>
    <w:p>
      <w:pPr>
        <w:pStyle w:val="ListBullet"/>
        <w:spacing w:after="30"/>
      </w:pPr>
      <w:r>
        <w:t>Configuraciones especiales.</w:t>
      </w:r>
    </w:p>
    <w:p>
      <w:pPr>
        <w:pStyle w:val="ListBullet"/>
        <w:spacing w:after="30"/>
      </w:pPr>
      <w:r>
        <w:t>Migración de información personal.</w:t>
      </w:r>
    </w:p>
    <w:p>
      <w:pPr>
        <w:pStyle w:val="ListBullet"/>
        <w:spacing w:after="30"/>
      </w:pPr>
      <w:r>
        <w:t>Capacitación extensa.</w:t>
      </w:r>
    </w:p>
    <w:p>
      <w:pPr>
        <w:pStyle w:val="ListBullet"/>
        <w:spacing w:after="30"/>
      </w:pPr>
      <w:r>
        <w:t>Condición registrada en la matriz: Estándar.</w:t>
      </w:r>
    </w:p>
    <w:p>
      <w:pPr>
        <w:pStyle w:val="Heading2"/>
      </w:pPr>
      <w:r>
        <w:t>Resultado esperado</w:t>
      </w:r>
    </w:p>
    <w:p>
      <w:r>
        <w:t>Una persona incorporada al entorno con la configuración estándar acordada.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PROD-01 Productividad Empresarial Esencial</w:t>
      </w:r>
    </w:p>
    <w:p>
      <w:pPr>
        <w:pStyle w:val="ListBullet"/>
        <w:spacing w:after="30"/>
      </w:pPr>
      <w:r>
        <w:t>PROD-08 Capacitación en Productividad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