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PROD-08</w:t>
      </w:r>
    </w:p>
    <w:p>
      <w:pPr>
        <w:pStyle w:val="Title"/>
        <w:spacing w:after="100"/>
      </w:pPr>
      <w:r>
        <w:t>Capacitación en Productividad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Capacitación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Sesión práctica para que el equipo use mejor las herramientas de productividad ya disponibles.</w:t>
      </w:r>
    </w:p>
    <w:p>
      <w:pPr>
        <w:pStyle w:val="Heading2"/>
      </w:pPr>
      <w:r>
        <w:t>¿Para quién es?</w:t>
      </w:r>
    </w:p>
    <w:p>
      <w:r>
        <w:t>Equipos de hasta 5 personas que necesitan adoptar una forma de trabajo común.</w:t>
      </w:r>
    </w:p>
    <w:p>
      <w:pPr>
        <w:pStyle w:val="Heading2"/>
      </w:pPr>
      <w:r>
        <w:t>¿Qué problema ayuda a resolver?</w:t>
      </w:r>
    </w:p>
    <w:p>
      <w:r>
        <w:t>Reduce dudas, usos inconsistentes y dependencia de aprendizaje informal.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Sesión de 60 minutos.</w:t>
      </w:r>
    </w:p>
    <w:p>
      <w:pPr>
        <w:pStyle w:val="ListBullet"/>
        <w:spacing w:after="30"/>
      </w:pPr>
      <w:r>
        <w:t>Hasta 5 participantes.</w:t>
      </w:r>
    </w:p>
    <w:p>
      <w:pPr>
        <w:pStyle w:val="ListBullet"/>
        <w:spacing w:after="30"/>
      </w:pPr>
      <w:r>
        <w:t>Contenido enfocado en el entorno y necesidades acordadas.</w:t>
      </w:r>
    </w:p>
    <w:p>
      <w:pPr>
        <w:pStyle w:val="ListBullet"/>
        <w:spacing w:after="30"/>
      </w:pPr>
      <w:r>
        <w:t>Espacio breve para preguntas.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Listado de participantes.</w:t>
      </w:r>
    </w:p>
    <w:p>
      <w:pPr>
        <w:pStyle w:val="ListBullet"/>
        <w:spacing w:after="30"/>
      </w:pPr>
      <w:r>
        <w:t>Temas prioritarios.</w:t>
      </w:r>
    </w:p>
    <w:p>
      <w:pPr>
        <w:pStyle w:val="ListBullet"/>
        <w:spacing w:after="30"/>
      </w:pPr>
      <w:r>
        <w:t>Acceso a la plataforma durante la sesión.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60 min; 5 personas.</w:t>
      </w:r>
    </w:p>
    <w:p>
      <w:pPr>
        <w:pStyle w:val="ListBullet"/>
        <w:spacing w:after="30"/>
      </w:pPr>
      <w:r>
        <w:t>Programa extenso de capacitación.</w:t>
      </w:r>
    </w:p>
    <w:p>
      <w:pPr>
        <w:pStyle w:val="ListBullet"/>
        <w:spacing w:after="30"/>
      </w:pPr>
      <w:r>
        <w:t>Soporte ilimitado posterior.</w:t>
      </w:r>
    </w:p>
    <w:p>
      <w:pPr>
        <w:pStyle w:val="ListBullet"/>
        <w:spacing w:after="30"/>
      </w:pPr>
      <w:r>
        <w:t>Material personalizado complejo salvo acuerdo.</w:t>
      </w:r>
    </w:p>
    <w:p>
      <w:pPr>
        <w:pStyle w:val="Heading2"/>
      </w:pPr>
      <w:r>
        <w:t>Resultado esperado</w:t>
      </w:r>
    </w:p>
    <w:p>
      <w:r>
        <w:t>Un equipo con criterios compartidos y una base práctica para usar las herramientas.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PROD-01 Productividad Empresarial Esencial</w:t>
      </w:r>
    </w:p>
    <w:p>
      <w:pPr>
        <w:pStyle w:val="ListBullet"/>
        <w:spacing w:after="30"/>
      </w:pPr>
      <w:r>
        <w:t>PROD-03 Colaboración de equipos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