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SUP-01</w:t>
      </w:r>
    </w:p>
    <w:p>
      <w:pPr>
        <w:pStyle w:val="Title"/>
        <w:spacing w:after="100"/>
      </w:pPr>
      <w:r>
        <w:t>Soporte puntual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Bloque breve para resolver una consulta o ajuste puntual con alcance acotado.</w:t>
      </w:r>
    </w:p>
    <w:p>
      <w:pPr>
        <w:pStyle w:val="Heading2"/>
      </w:pPr>
      <w:r>
        <w:t>¿Para quién es?</w:t>
      </w:r>
    </w:p>
    <w:p>
      <w:r>
        <w:t>Problemas concretos que pueden revisarse dentro de 30 minutos.</w:t>
      </w:r>
    </w:p>
    <w:p>
      <w:pPr>
        <w:pStyle w:val="Heading2"/>
      </w:pPr>
      <w:r>
        <w:t>¿Qué problema ayuda a resolver?</w:t>
      </w:r>
    </w:p>
    <w:p>
      <w:r>
        <w:t>Ofrece una entrada simple sin contratar una bolsa de horas.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Bloque de hasta 30 minutos.</w:t>
      </w:r>
    </w:p>
    <w:p>
      <w:pPr>
        <w:pStyle w:val="ListBullet"/>
        <w:spacing w:after="30"/>
      </w:pPr>
      <w:r>
        <w:t>Revisión de un único tema prioritario.</w:t>
      </w:r>
    </w:p>
    <w:p>
      <w:pPr>
        <w:pStyle w:val="ListBullet"/>
        <w:spacing w:after="30"/>
      </w:pPr>
      <w:r>
        <w:t>Orientación o ajuste simple cuando sea posible.</w:t>
      </w:r>
    </w:p>
    <w:p>
      <w:pPr>
        <w:pStyle w:val="ListBullet"/>
        <w:spacing w:after="30"/>
      </w:pPr>
      <w:r>
        <w:t>Indicación de próximos pasos si el caso excede el bloque.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Descripción previa del problema.</w:t>
      </w:r>
    </w:p>
    <w:p>
      <w:pPr>
        <w:pStyle w:val="ListBullet"/>
        <w:spacing w:after="30"/>
      </w:pPr>
      <w:r>
        <w:t>Accesos y disponibilidad para probar.</w:t>
      </w:r>
    </w:p>
    <w:p>
      <w:pPr>
        <w:pStyle w:val="ListBullet"/>
        <w:spacing w:after="30"/>
      </w:pPr>
      <w:r>
        <w:t>Una persona de contacto.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Bloque 30 min.</w:t>
      </w:r>
    </w:p>
    <w:p>
      <w:pPr>
        <w:pStyle w:val="ListBullet"/>
        <w:spacing w:after="30"/>
      </w:pPr>
      <w:r>
        <w:t>Garantía de resolución cuando el caso excede 30 minutos.</w:t>
      </w:r>
    </w:p>
    <w:p>
      <w:pPr>
        <w:pStyle w:val="ListBullet"/>
        <w:spacing w:after="30"/>
      </w:pPr>
      <w:r>
        <w:t>Proyectos, migraciones o desarrollos.</w:t>
      </w:r>
    </w:p>
    <w:p>
      <w:pPr>
        <w:pStyle w:val="ListBullet"/>
        <w:spacing w:after="30"/>
      </w:pPr>
      <w:r>
        <w:t>Seguimiento posterior ilimitado.</w:t>
      </w:r>
    </w:p>
    <w:p>
      <w:pPr>
        <w:pStyle w:val="Heading2"/>
      </w:pPr>
      <w:r>
        <w:t>Resultado esperado</w:t>
      </w:r>
    </w:p>
    <w:p>
      <w:r>
        <w:t>Una respuesta concreta o un diagnóstico claro del siguiente paso.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SUP-02 Bolsa 5 h</w:t>
      </w:r>
    </w:p>
    <w:p>
      <w:pPr>
        <w:pStyle w:val="ListBullet"/>
        <w:spacing w:after="30"/>
      </w:pPr>
      <w:r>
        <w:t>SUP-05 Soporte de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