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5637FF"/>
          <w:sz w:val="16"/>
        </w:rPr>
        <w:t>KYTECH · CATÁLOGO DE SERVICIOS</w:t>
      </w:r>
    </w:p>
    <w:p>
      <w:pPr>
        <w:pStyle w:val="Subtitle"/>
      </w:pPr>
      <w:r>
        <w:rPr>
          <w:b/>
          <w:color w:val="5637FF"/>
        </w:rPr>
        <w:t>SUP-03</w:t>
      </w:r>
    </w:p>
    <w:p>
      <w:pPr>
        <w:pStyle w:val="Title"/>
        <w:spacing w:after="100"/>
      </w:pPr>
      <w:r>
        <w:t>Bolsa 10 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F3F0FF"/>
          </w:tcPr>
          <w:p>
            <w:r>
              <w:rPr>
                <w:b/>
              </w:rPr>
              <w:t>Categoría</w:t>
              <w:br/>
            </w:r>
            <w:r>
              <w:t>Soporte</w:t>
            </w:r>
          </w:p>
        </w:tc>
        <w:tc>
          <w:tcPr>
            <w:tcW w:type="dxa" w:w="3408"/>
            <w:shd w:fill="F3F0FF"/>
          </w:tcPr>
          <w:p>
            <w:r>
              <w:rPr>
                <w:b/>
              </w:rPr>
              <w:t>Modalidad</w:t>
              <w:br/>
            </w:r>
            <w:r>
              <w:t>Bolsa</w:t>
            </w:r>
          </w:p>
        </w:tc>
        <w:tc>
          <w:tcPr>
            <w:tcW w:type="dxa" w:w="3408"/>
            <w:shd w:fill="F3F0FF"/>
          </w:tcPr>
          <w:p>
            <w:r>
              <w:rPr>
                <w:b/>
              </w:rPr>
              <w:t>Estado</w:t>
              <w:br/>
            </w:r>
            <w:r>
              <w:t>Activo</w:t>
            </w:r>
          </w:p>
        </w:tc>
      </w:tr>
    </w:tbl>
    <w:p>
      <w:r>
        <w:rPr>
          <w:color w:val="62697A"/>
          <w:sz w:val="22"/>
        </w:rPr>
        <w:t>Diez horas prepagas para atender un conjunto más amplio de tareas y mejoras pequeñas.</w:t>
      </w:r>
    </w:p>
    <w:p>
      <w:pPr>
        <w:pStyle w:val="Heading2"/>
      </w:pPr>
      <w:r>
        <w:t>¿Para quién es?</w:t>
      </w:r>
    </w:p>
    <w:p>
      <w:r>
        <w:t>Equipos con varias necesidades identificadas que no requieren un proyecto completo.</w:t>
      </w:r>
    </w:p>
    <w:p>
      <w:pPr>
        <w:pStyle w:val="Heading2"/>
      </w:pPr>
      <w:r>
        <w:t>¿Qué problema ayuda a resolver?</w:t>
      </w:r>
    </w:p>
    <w:p>
      <w:r>
        <w:t>Facilita ordenar y resolver un backlog acotado de soporte.</w:t>
      </w:r>
    </w:p>
    <w:p>
      <w:pPr>
        <w:pStyle w:val="Heading2"/>
      </w:pPr>
      <w:r>
        <w:t>¿Qué comprende?</w:t>
      </w:r>
    </w:p>
    <w:p>
      <w:pPr>
        <w:pStyle w:val="ListBullet"/>
        <w:spacing w:after="30"/>
      </w:pPr>
      <w:r>
        <w:t>Bolsa total de 10 horas.</w:t>
      </w:r>
    </w:p>
    <w:p>
      <w:pPr>
        <w:pStyle w:val="ListBullet"/>
        <w:spacing w:after="30"/>
      </w:pPr>
      <w:r>
        <w:t>Vigencia de 90 días.</w:t>
      </w:r>
    </w:p>
    <w:p>
      <w:pPr>
        <w:pStyle w:val="ListBullet"/>
        <w:spacing w:after="30"/>
      </w:pPr>
      <w:r>
        <w:t>Priorización inicial y registro del consumo.</w:t>
      </w:r>
    </w:p>
    <w:p>
      <w:pPr>
        <w:pStyle w:val="ListBullet"/>
        <w:spacing w:after="30"/>
      </w:pPr>
      <w:r>
        <w:t>Atención de tareas compatibles con soporte.</w:t>
      </w:r>
    </w:p>
    <w:p>
      <w:pPr>
        <w:pStyle w:val="Heading2"/>
      </w:pPr>
      <w:r>
        <w:t>Qué necesita aportar el cliente</w:t>
      </w:r>
    </w:p>
    <w:p>
      <w:pPr>
        <w:pStyle w:val="ListBullet"/>
        <w:spacing w:after="30"/>
      </w:pPr>
      <w:r>
        <w:t>Lista de tareas y prioridad.</w:t>
      </w:r>
    </w:p>
    <w:p>
      <w:pPr>
        <w:pStyle w:val="ListBullet"/>
        <w:spacing w:after="30"/>
      </w:pPr>
      <w:r>
        <w:t>Accesos y personas responsables.</w:t>
      </w:r>
    </w:p>
    <w:p>
      <w:pPr>
        <w:pStyle w:val="ListBullet"/>
        <w:spacing w:after="30"/>
      </w:pPr>
      <w:r>
        <w:t>Aprobación de decisiones que consuman horas.</w:t>
      </w:r>
    </w:p>
    <w:p>
      <w:pPr>
        <w:pStyle w:val="Heading2"/>
      </w:pPr>
      <w:r>
        <w:t>Límites importantes</w:t>
      </w:r>
    </w:p>
    <w:p>
      <w:pPr>
        <w:pStyle w:val="ListBullet"/>
        <w:spacing w:after="30"/>
      </w:pPr>
      <w:r>
        <w:t>Alcance de referencia del catálogo: Vigencia 90 días.</w:t>
      </w:r>
    </w:p>
    <w:p>
      <w:pPr>
        <w:pStyle w:val="ListBullet"/>
        <w:spacing w:after="30"/>
      </w:pPr>
      <w:r>
        <w:t>Compromiso mensual permanente.</w:t>
      </w:r>
    </w:p>
    <w:p>
      <w:pPr>
        <w:pStyle w:val="ListBullet"/>
        <w:spacing w:after="30"/>
      </w:pPr>
      <w:r>
        <w:t>Proyectos de mayor complejidad.</w:t>
      </w:r>
    </w:p>
    <w:p>
      <w:pPr>
        <w:pStyle w:val="ListBullet"/>
        <w:spacing w:after="30"/>
      </w:pPr>
      <w:r>
        <w:t>Horas no usadas fuera de la vigencia.</w:t>
      </w:r>
    </w:p>
    <w:p>
      <w:pPr>
        <w:pStyle w:val="Heading2"/>
      </w:pPr>
      <w:r>
        <w:t>Resultado esperado</w:t>
      </w:r>
    </w:p>
    <w:p>
      <w:r>
        <w:t>Capacidad concentrada para resolver varias necesidades en un período definido.</w:t>
      </w:r>
    </w:p>
    <w:p>
      <w:pPr>
        <w:pStyle w:val="Heading2"/>
      </w:pPr>
      <w:r>
        <w:t>Entorno previsto</w:t>
      </w:r>
    </w:p>
    <w:p>
      <w:r>
        <w:t>Microsoft / Google. La plataforma o herramienta concreta se confirma antes de comenzar.</w:t>
      </w:r>
    </w:p>
    <w:p>
      <w:pPr>
        <w:pStyle w:val="Heading2"/>
      </w:pPr>
      <w:r>
        <w:t>Puede complementarse con</w:t>
      </w:r>
    </w:p>
    <w:p>
      <w:pPr>
        <w:pStyle w:val="ListBullet"/>
        <w:spacing w:after="30"/>
      </w:pPr>
      <w:r>
        <w:t>SUP-05 Soporte de Productividad</w:t>
      </w:r>
    </w:p>
    <w:p>
      <w:pPr>
        <w:pBdr>
          <w:bottom w:val="single" w:sz="10" w:color="17795C"/>
        </w:pBdr>
      </w:pPr>
    </w:p>
    <w:p>
      <w:r>
        <w:rPr>
          <w:b/>
          <w:color w:val="5637FF"/>
        </w:rPr>
        <w:t>Nota comercial</w:t>
      </w:r>
    </w:p>
    <w:p>
      <w:r>
        <w:t>Esta guía describe el alcance estándar del catálogo. La propuesta final puede requerir confirmación de disponibilidad, accesos, contenidos y condiciones particulares antes de iniciar.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5637F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182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Aptos Display" w:hAnsi="Aptos Display"/>
      <w:b/>
      <w:color w:val="18182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