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b/>
          <w:color w:val="5637FF"/>
          <w:sz w:val="16"/>
        </w:rPr>
        <w:t>KYTECH · CATÁLOGO DE SERVICIOS</w:t>
      </w:r>
    </w:p>
    <w:p>
      <w:pPr>
        <w:pStyle w:val="Subtitle"/>
      </w:pPr>
      <w:r>
        <w:rPr>
          <w:b/>
          <w:color w:val="5637FF"/>
        </w:rPr>
        <w:t>SUP-04</w:t>
      </w:r>
    </w:p>
    <w:p>
      <w:pPr>
        <w:pStyle w:val="Title"/>
        <w:spacing w:after="100"/>
      </w:pPr>
      <w:r>
        <w:t>Bolsa 20 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F3F0FF"/>
          </w:tcPr>
          <w:p>
            <w:r>
              <w:rPr>
                <w:b/>
              </w:rPr>
              <w:t>Categoría</w:t>
              <w:br/>
            </w:r>
            <w:r>
              <w:t>Soporte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Modalidad</w:t>
              <w:br/>
            </w:r>
            <w:r>
              <w:t>Bolsa</w:t>
            </w:r>
          </w:p>
        </w:tc>
        <w:tc>
          <w:tcPr>
            <w:tcW w:type="dxa" w:w="3408"/>
            <w:shd w:fill="F3F0FF"/>
          </w:tcPr>
          <w:p>
            <w:r>
              <w:rPr>
                <w:b/>
              </w:rPr>
              <w:t>Estado</w:t>
              <w:br/>
            </w:r>
            <w:r>
              <w:t>Sujeto a disponibilidad</w:t>
            </w:r>
          </w:p>
        </w:tc>
      </w:tr>
    </w:tbl>
    <w:p>
      <w:r>
        <w:rPr>
          <w:color w:val="62697A"/>
          <w:sz w:val="22"/>
        </w:rPr>
        <w:t>Veinte horas prepagas, sujetas a disponibilidad, para un volumen importante de soporte y mejoras.</w:t>
      </w:r>
    </w:p>
    <w:p>
      <w:pPr>
        <w:pStyle w:val="Heading2"/>
      </w:pPr>
      <w:r>
        <w:t>¿Para quién es?</w:t>
      </w:r>
    </w:p>
    <w:p>
      <w:r>
        <w:t>Equipos con un conjunto amplio de tareas que siguen siendo independientes y acotadas.</w:t>
      </w:r>
    </w:p>
    <w:p>
      <w:pPr>
        <w:pStyle w:val="Heading2"/>
      </w:pPr>
      <w:r>
        <w:t>¿Qué problema ayuda a resolver?</w:t>
      </w:r>
    </w:p>
    <w:p>
      <w:r>
        <w:t>Aporta capacidad de ejecución sin convertir cada ajuste en una contratación separada.</w:t>
      </w:r>
    </w:p>
    <w:p>
      <w:pPr>
        <w:pStyle w:val="Heading2"/>
      </w:pPr>
      <w:r>
        <w:t>¿Qué comprende?</w:t>
      </w:r>
    </w:p>
    <w:p>
      <w:pPr>
        <w:pStyle w:val="ListBullet"/>
        <w:spacing w:after="30"/>
      </w:pPr>
      <w:r>
        <w:t>Bolsa total de 20 horas.</w:t>
      </w:r>
    </w:p>
    <w:p>
      <w:pPr>
        <w:pStyle w:val="ListBullet"/>
        <w:spacing w:after="30"/>
      </w:pPr>
      <w:r>
        <w:t>Vigencia de 90 días.</w:t>
      </w:r>
    </w:p>
    <w:p>
      <w:pPr>
        <w:pStyle w:val="ListBullet"/>
        <w:spacing w:after="30"/>
      </w:pPr>
      <w:r>
        <w:t>Priorización y seguimiento del consumo.</w:t>
      </w:r>
    </w:p>
    <w:p>
      <w:pPr>
        <w:pStyle w:val="ListBullet"/>
        <w:spacing w:after="30"/>
      </w:pPr>
      <w:r>
        <w:t>Atención según disponibilidad confirmada.</w:t>
      </w:r>
    </w:p>
    <w:p>
      <w:pPr>
        <w:pStyle w:val="Heading2"/>
      </w:pPr>
      <w:r>
        <w:t>Qué necesita aportar el cliente</w:t>
      </w:r>
    </w:p>
    <w:p>
      <w:pPr>
        <w:pStyle w:val="ListBullet"/>
        <w:spacing w:after="30"/>
      </w:pPr>
      <w:r>
        <w:t>Backlog priorizado.</w:t>
      </w:r>
    </w:p>
    <w:p>
      <w:pPr>
        <w:pStyle w:val="ListBullet"/>
        <w:spacing w:after="30"/>
      </w:pPr>
      <w:r>
        <w:t>Responsables y accesos.</w:t>
      </w:r>
    </w:p>
    <w:p>
      <w:pPr>
        <w:pStyle w:val="ListBullet"/>
        <w:spacing w:after="30"/>
      </w:pPr>
      <w:r>
        <w:t>Disponibilidad para validar avances.</w:t>
      </w:r>
    </w:p>
    <w:p>
      <w:pPr>
        <w:pStyle w:val="Heading2"/>
      </w:pPr>
      <w:r>
        <w:t>Límites importantes</w:t>
      </w:r>
    </w:p>
    <w:p>
      <w:pPr>
        <w:pStyle w:val="ListBullet"/>
        <w:spacing w:after="30"/>
      </w:pPr>
      <w:r>
        <w:t>Alcance de referencia del catálogo: Vigencia 90 días.</w:t>
      </w:r>
    </w:p>
    <w:p>
      <w:pPr>
        <w:pStyle w:val="ListBullet"/>
        <w:spacing w:after="30"/>
      </w:pPr>
      <w:r>
        <w:t>Reserva automática de capacidad sin confirmación.</w:t>
      </w:r>
    </w:p>
    <w:p>
      <w:pPr>
        <w:pStyle w:val="ListBullet"/>
        <w:spacing w:after="30"/>
      </w:pPr>
      <w:r>
        <w:t>Proyectos complejos disfrazados como soporte.</w:t>
      </w:r>
    </w:p>
    <w:p>
      <w:pPr>
        <w:pStyle w:val="ListBullet"/>
        <w:spacing w:after="30"/>
      </w:pPr>
      <w:r>
        <w:t>Horas fuera de vigencia.</w:t>
      </w:r>
    </w:p>
    <w:p>
      <w:pPr>
        <w:pStyle w:val="Heading2"/>
      </w:pPr>
      <w:r>
        <w:t>Resultado esperado</w:t>
      </w:r>
    </w:p>
    <w:p>
      <w:r>
        <w:t>Una reserva amplia de horas para resolver un conjunto priorizado de necesidades.</w:t>
      </w:r>
    </w:p>
    <w:p>
      <w:pPr>
        <w:pStyle w:val="Heading2"/>
      </w:pPr>
      <w:r>
        <w:t>Entorno previsto</w:t>
      </w:r>
    </w:p>
    <w:p>
      <w:r>
        <w:t>Microsoft / Google. La plataforma o herramienta concreta se confirma antes de comenzar.</w:t>
      </w:r>
    </w:p>
    <w:p>
      <w:pPr>
        <w:pStyle w:val="Heading2"/>
      </w:pPr>
      <w:r>
        <w:t>Puede complementarse con</w:t>
      </w:r>
    </w:p>
    <w:p>
      <w:pPr>
        <w:pStyle w:val="ListBullet"/>
        <w:spacing w:after="30"/>
      </w:pPr>
      <w:r>
        <w:t>SUP-05 Soporte de Productividad</w:t>
      </w:r>
    </w:p>
    <w:p>
      <w:pPr>
        <w:pBdr>
          <w:bottom w:val="single" w:sz="10" w:color="17795C"/>
        </w:pBdr>
      </w:pPr>
    </w:p>
    <w:p>
      <w:r>
        <w:rPr>
          <w:b/>
          <w:color w:val="5637FF"/>
        </w:rPr>
        <w:t>Nota comercial</w:t>
      </w:r>
    </w:p>
    <w:p>
      <w:r>
        <w:t>Esta guía describe el alcance estándar del catálogo. La propuesta final puede requerir confirmación de disponibilidad, accesos, contenidos y condiciones particulares antes de iniciar.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563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8182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60" w:line="240" w:lineRule="auto" w:before="140"/>
      <w:contextualSpacing/>
    </w:pPr>
    <w:rPr>
      <w:rFonts w:asciiTheme="majorHAnsi" w:eastAsiaTheme="majorEastAsia" w:hAnsiTheme="majorHAnsi" w:cstheme="majorBidi" w:ascii="Aptos Display" w:hAnsi="Aptos Display"/>
      <w:b/>
      <w:color w:val="181821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